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20" w:after="288"/>
        <w:ind w:firstLine="709"/>
        <w:rPr>
          <w:rFonts w:ascii="Arial" w:hAnsi="Arial" w:cs="Arial"/>
          <w:b/>
          <w:bCs/>
          <w:color w:themeColor="text1" w:val="000000"/>
          <w:sz w:val="20"/>
          <w:szCs w:val="20"/>
        </w:rPr>
      </w:pPr>
      <w:r>
        <w:rPr>
          <w:rFonts w:cs="Arial" w:ascii="Arial" w:hAnsi="Arial"/>
          <w:b/>
          <w:bCs/>
          <w:color w:themeColor="text1" w:val="000000"/>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a:noFill/>
                  </pic:spPr>
                </pic:pic>
              </a:graphicData>
            </a:graphic>
          </wp:anchor>
        </w:drawing>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312" w:before="120" w:after="288"/>
        <w:ind w:firstLine="708" w:left="708"/>
        <w:jc w:val="center"/>
        <w:rPr>
          <w:rFonts w:ascii="Times New Roman" w:hAnsi="Times New Roman" w:cs="Times New Roman"/>
          <w:b/>
          <w:i/>
          <w:i/>
          <w:color w:val="FF0000"/>
          <w:sz w:val="4"/>
          <w:szCs w:val="4"/>
        </w:rPr>
      </w:pPr>
      <w:r>
        <w:rPr>
          <w:rFonts w:cs="Times New Roman" w:ascii="Times New Roman" w:hAnsi="Times New Roman"/>
          <w:b/>
          <w:i/>
          <w:color w:val="FF0000"/>
          <w:sz w:val="4"/>
          <w:szCs w:val="4"/>
        </w:rPr>
      </w:r>
    </w:p>
    <w:p>
      <w:pPr>
        <w:pStyle w:val="Normal"/>
        <w:keepNext w:val="true"/>
        <w:jc w:val="center"/>
        <w:rPr>
          <w:rFonts w:ascii="Times New Roman" w:hAnsi="Times New Roman" w:eastAsia="DejaVu Sans" w:cs="Times New Roman"/>
          <w:b/>
          <w:lang w:eastAsia="zh-CN"/>
        </w:rPr>
      </w:pPr>
      <w:r>
        <w:rPr>
          <w:rFonts w:eastAsia="DejaVu Sans" w:cs="Times New Roman" w:ascii="Times New Roman" w:hAnsi="Times New Roman"/>
          <w:b/>
          <w:lang w:eastAsia="zh-CN"/>
        </w:rPr>
        <w:t>MINISTÉRIO DA DEFESA</w:t>
      </w:r>
    </w:p>
    <w:p>
      <w:pPr>
        <w:pStyle w:val="Normal"/>
        <w:jc w:val="center"/>
        <w:rPr>
          <w:rFonts w:ascii="Times New Roman" w:hAnsi="Times New Roman" w:cs="Times New Roman"/>
          <w:b/>
          <w:lang w:eastAsia="zh-CN"/>
        </w:rPr>
      </w:pPr>
      <w:r>
        <w:rPr>
          <w:rFonts w:cs="Times New Roman" w:ascii="Times New Roman" w:hAnsi="Times New Roman"/>
          <w:b/>
          <w:lang w:eastAsia="zh-CN"/>
        </w:rPr>
        <w:t>EXÉRCITO BRASILEIRO</w:t>
      </w:r>
    </w:p>
    <w:p>
      <w:pPr>
        <w:pStyle w:val="Normal"/>
        <w:jc w:val="center"/>
        <w:rPr>
          <w:rFonts w:ascii="Times New Roman" w:hAnsi="Times New Roman" w:cs="Times New Roman"/>
          <w:b/>
          <w:lang w:eastAsia="zh-CN"/>
        </w:rPr>
      </w:pPr>
      <w:r>
        <w:rPr>
          <w:rFonts w:cs="Times New Roman" w:ascii="Times New Roman" w:hAnsi="Times New Roman"/>
          <w:b/>
          <w:lang w:eastAsia="zh-CN"/>
        </w:rPr>
        <w:t>DEPÓSITO CENTRAL DE MUNIÇÃO</w:t>
      </w:r>
    </w:p>
    <w:p>
      <w:pPr>
        <w:pStyle w:val="Normal"/>
        <w:jc w:val="center"/>
        <w:rPr>
          <w:rFonts w:ascii="Times New Roman" w:hAnsi="Times New Roman" w:cs="Times New Roman"/>
          <w:lang w:eastAsia="zh-CN"/>
        </w:rPr>
      </w:pPr>
      <w:r>
        <w:rPr>
          <w:rFonts w:cs="Times New Roman" w:ascii="Times New Roman" w:hAnsi="Times New Roman"/>
          <w:b/>
          <w:lang w:eastAsia="zh-CN"/>
        </w:rPr>
        <w:t xml:space="preserve"> </w:t>
      </w:r>
      <w:r>
        <w:rPr>
          <w:rFonts w:cs="Times New Roman" w:ascii="Times New Roman" w:hAnsi="Times New Roman"/>
          <w:b/>
          <w:bCs/>
          <w:lang w:eastAsia="zh-CN"/>
        </w:rPr>
        <w:t>(D C M B / 1918)</w:t>
      </w:r>
    </w:p>
    <w:p>
      <w:pPr>
        <w:pStyle w:val="Normal"/>
        <w:spacing w:lineRule="auto" w:line="312" w:before="120" w:after="288"/>
        <w:jc w:val="center"/>
        <w:rPr>
          <w:rFonts w:ascii="Times New Roman" w:hAnsi="Times New Roman" w:cs="Times New Roman"/>
          <w:color w:val="000000"/>
        </w:rPr>
      </w:pPr>
      <w:r>
        <w:rPr>
          <w:rFonts w:cs="Times New Roman" w:ascii="Times New Roman" w:hAnsi="Times New Roman"/>
          <w:color w:val="000000"/>
        </w:rPr>
        <w:t>(Processo Administrativo n° 64449.007341/2024-13 )</w:t>
      </w:r>
    </w:p>
    <w:p>
      <w:pPr>
        <w:pStyle w:val="Normal"/>
        <w:spacing w:lineRule="auto" w:line="312" w:before="120" w:after="288"/>
        <w:ind w:firstLine="709"/>
        <w:jc w:val="center"/>
        <w:rPr>
          <w:rFonts w:ascii="Arial" w:hAnsi="Arial" w:cs="Arial"/>
          <w:b/>
          <w:bCs/>
          <w:color w:val="000000"/>
          <w:sz w:val="24"/>
          <w:szCs w:val="24"/>
        </w:rPr>
      </w:pPr>
      <w:r>
        <w:rPr>
          <w:rFonts w:cs="Arial" w:ascii="Arial" w:hAnsi="Arial"/>
          <w:b/>
          <w:bCs/>
          <w:color w:val="000000"/>
          <w:sz w:val="24"/>
          <w:szCs w:val="24"/>
        </w:rPr>
        <w:t>ANEXO III</w:t>
      </w:r>
    </w:p>
    <w:p>
      <w:pPr>
        <w:pStyle w:val="Prembulo"/>
        <w:spacing w:lineRule="auto" w:line="312" w:before="480" w:after="288"/>
        <w:ind w:left="4253" w:right="-170"/>
        <w:rPr>
          <w:bCs w:val="false"/>
        </w:rPr>
      </w:pPr>
      <w:r>
        <w:rPr>
          <w:bCs w:val="false"/>
        </w:rPr>
        <w:t xml:space="preserve">CONTRATO ADMINISTRATIVO Nº ......../...., QUE FAZEM ENTRE SI A UNIÃO, POR INTERMÉDIO DO (A) ......................................................... E ............................................................. </w:t>
      </w:r>
    </w:p>
    <w:p>
      <w:pPr>
        <w:pStyle w:val="Nivel01"/>
        <w:numPr>
          <w:ilvl w:val="0"/>
          <w:numId w:val="0"/>
        </w:numPr>
        <w:ind w:hanging="0" w:left="360"/>
        <w:rPr>
          <w:rFonts w:ascii="Times New Roman" w:hAnsi="Times New Roman"/>
          <w:b w:val="false"/>
          <w:bCs w:val="false"/>
          <w:sz w:val="24"/>
          <w:szCs w:val="24"/>
        </w:rPr>
      </w:pPr>
      <w:r>
        <w:rPr>
          <w:rFonts w:ascii="Times New Roman" w:hAnsi="Times New Roman"/>
          <w:b w:val="false"/>
          <w:bCs w:val="false"/>
          <w:sz w:val="24"/>
          <w:szCs w:val="24"/>
        </w:rPr>
        <w:t>O Depósito Central de Munição, órgão do EXÉRCITO BRASILEIRO, com sede na Estrada RJ-127, km 6</w:t>
      </w:r>
      <w:r>
        <w:rPr>
          <w:rFonts w:ascii="Times New Roman" w:hAnsi="Times New Roman"/>
          <w:b w:val="false"/>
          <w:bCs w:val="false"/>
          <w:spacing w:val="-47"/>
          <w:sz w:val="24"/>
          <w:szCs w:val="24"/>
        </w:rPr>
        <w:t xml:space="preserve"> </w:t>
      </w:r>
      <w:r>
        <w:rPr>
          <w:rFonts w:ascii="Times New Roman" w:hAnsi="Times New Roman"/>
          <w:b w:val="false"/>
          <w:bCs w:val="false"/>
          <w:sz w:val="24"/>
          <w:szCs w:val="24"/>
        </w:rPr>
        <w:t>s/n</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Cabral,</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Paracambi</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RJ,</w:t>
      </w:r>
      <w:r>
        <w:rPr>
          <w:rFonts w:ascii="Times New Roman" w:hAnsi="Times New Roman"/>
          <w:b w:val="false"/>
          <w:bCs w:val="false"/>
          <w:spacing w:val="14"/>
          <w:sz w:val="24"/>
          <w:szCs w:val="24"/>
        </w:rPr>
        <w:t xml:space="preserve"> </w:t>
      </w:r>
      <w:r>
        <w:rPr>
          <w:rFonts w:ascii="Times New Roman" w:hAnsi="Times New Roman"/>
          <w:b w:val="false"/>
          <w:bCs w:val="false"/>
          <w:sz w:val="24"/>
          <w:szCs w:val="24"/>
        </w:rPr>
        <w:t>26600-000,</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CNPJ/MF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nº</w:t>
      </w:r>
      <w:r>
        <w:rPr>
          <w:rFonts w:eastAsia="Times New Roman" w:ascii="Times New Roman" w:hAnsi="Times New Roman"/>
          <w:b w:val="false"/>
          <w:bCs w:val="false"/>
          <w:color w:val="000000"/>
          <w:sz w:val="24"/>
          <w:szCs w:val="24"/>
        </w:rPr>
        <w:t xml:space="preserve"> xxxxxxxxxx</w:t>
      </w:r>
      <w:r>
        <w:rPr>
          <w:rFonts w:ascii="Times New Roman" w:hAnsi="Times New Roman"/>
          <w:b w:val="false"/>
          <w:bCs w:val="false"/>
          <w:sz w:val="24"/>
          <w:szCs w:val="24"/>
        </w:rPr>
        <w:t>,</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ato</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representado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 xml:space="preserve">ato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pelo Ten</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Cel</w:t>
      </w:r>
      <w:r>
        <w:rPr>
          <w:rFonts w:ascii="Times New Roman" w:hAnsi="Times New Roman"/>
          <w:b w:val="false"/>
          <w:bCs w:val="false"/>
          <w:sz w:val="24"/>
          <w:szCs w:val="24"/>
          <w:u w:val="single"/>
        </w:rPr>
        <w:t xml:space="preserve"> </w:t>
      </w:r>
      <w:r>
        <w:rPr>
          <w:rFonts w:ascii="Times New Roman" w:hAnsi="Times New Roman"/>
          <w:b w:val="false"/>
          <w:bCs w:val="false"/>
          <w:sz w:val="24"/>
          <w:szCs w:val="24"/>
          <w:u w:val="none"/>
        </w:rPr>
        <w:t>ROBERTO DA SILVA DOS SANTOS</w:t>
      </w:r>
      <w:r>
        <w:rPr>
          <w:rFonts w:ascii="Times New Roman" w:hAnsi="Times New Roman"/>
          <w:b w:val="false"/>
          <w:bCs w:val="false"/>
          <w:sz w:val="24"/>
          <w:szCs w:val="24"/>
        </w:rPr>
        <w:t>,</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nomeado pela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Portaria</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nº 730</w:t>
      </w:r>
      <w:r>
        <w:rPr>
          <w:rFonts w:eastAsia="Times New Roman" w:ascii="Times New Roman" w:hAnsi="Times New Roman"/>
          <w:b w:val="false"/>
          <w:bCs w:val="false"/>
          <w:sz w:val="24"/>
          <w:szCs w:val="24"/>
        </w:rPr>
        <w:t>, de 23 de maio de 2024</w:t>
      </w:r>
      <w:r>
        <w:rPr>
          <w:rFonts w:ascii="Times New Roman" w:hAnsi="Times New Roman"/>
          <w:b w:val="false"/>
          <w:bCs w:val="false"/>
          <w:sz w:val="24"/>
          <w:szCs w:val="24"/>
        </w:rPr>
        <w:t>,</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publicada</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Diário</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Oficial</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União</w:t>
      </w:r>
      <w:r>
        <w:rPr>
          <w:rFonts w:ascii="Times New Roman" w:hAnsi="Times New Roman"/>
          <w:b w:val="false"/>
          <w:bCs w:val="false"/>
          <w:spacing w:val="-46"/>
          <w:sz w:val="24"/>
          <w:szCs w:val="24"/>
        </w:rPr>
        <w:t xml:space="preserve"> </w:t>
      </w:r>
      <w:r>
        <w:rPr>
          <w:rFonts w:ascii="Times New Roman" w:hAnsi="Times New Roman"/>
          <w:b w:val="false"/>
          <w:bCs w:val="false"/>
          <w:sz w:val="24"/>
          <w:szCs w:val="24"/>
        </w:rPr>
        <w:t xml:space="preserve"> nº</w:t>
      </w:r>
      <w:r>
        <w:rPr>
          <w:rFonts w:eastAsia="Times New Roman" w:ascii="Times New Roman" w:hAnsi="Times New Roman"/>
          <w:b w:val="false"/>
          <w:bCs w:val="false"/>
          <w:color w:val="000000"/>
          <w:sz w:val="24"/>
          <w:szCs w:val="24"/>
        </w:rPr>
        <w:t xml:space="preserve"> 99</w:t>
      </w:r>
      <w:r>
        <w:rPr>
          <w:rFonts w:ascii="Times New Roman" w:hAnsi="Times New Roman"/>
          <w:b w:val="false"/>
          <w:bCs w:val="false"/>
          <w:sz w:val="24"/>
          <w:szCs w:val="24"/>
        </w:rPr>
        <w:t xml:space="preserve"> de 23 </w:t>
      </w:r>
      <w:r>
        <w:rPr>
          <w:rFonts w:eastAsia="Times New Roman" w:ascii="Times New Roman" w:hAnsi="Times New Roman"/>
          <w:b w:val="false"/>
          <w:bCs w:val="false"/>
          <w:color w:val="000000"/>
          <w:sz w:val="24"/>
          <w:szCs w:val="24"/>
        </w:rPr>
        <w:t xml:space="preserve">de Maio de 2024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CPF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nº ___________,</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portador</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Carteira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Identidadede Nº  _________,</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expedida</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pelo Ministério da Defesa</w:t>
      </w:r>
      <w:r>
        <w:rPr>
          <w:rFonts w:ascii="Times New Roman" w:hAnsi="Times New Roman"/>
          <w:b w:val="false"/>
          <w:bCs w:val="false"/>
          <w:spacing w:val="-1"/>
          <w:sz w:val="24"/>
          <w:szCs w:val="24"/>
        </w:rPr>
        <w:t>,</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considerando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julgamento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licitação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modalidade</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PREGÃO,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forma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eletrónica,</w:t>
      </w:r>
      <w:r>
        <w:rPr>
          <w:rFonts w:ascii="Times New Roman" w:hAnsi="Times New Roman"/>
          <w:b w:val="false"/>
          <w:bCs w:val="false"/>
          <w:spacing w:val="-8"/>
          <w:sz w:val="24"/>
          <w:szCs w:val="24"/>
        </w:rPr>
        <w:t xml:space="preserve">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nº</w:t>
      </w:r>
      <w:r>
        <w:rPr>
          <w:rFonts w:ascii="Times New Roman" w:hAnsi="Times New Roman"/>
          <w:b w:val="false"/>
          <w:bCs w:val="false"/>
          <w:spacing w:val="24"/>
          <w:sz w:val="24"/>
          <w:szCs w:val="24"/>
        </w:rPr>
        <w:t xml:space="preserve"> 900</w:t>
      </w:r>
      <w:r>
        <w:rPr>
          <w:rFonts w:ascii="Times New Roman" w:hAnsi="Times New Roman"/>
          <w:b w:val="false"/>
          <w:bCs w:val="false"/>
          <w:spacing w:val="24"/>
          <w:sz w:val="24"/>
          <w:szCs w:val="24"/>
        </w:rPr>
        <w:t>20</w:t>
      </w:r>
      <w:r>
        <w:rPr>
          <w:rFonts w:ascii="Times New Roman" w:hAnsi="Times New Roman"/>
          <w:b w:val="false"/>
          <w:bCs w:val="false"/>
          <w:sz w:val="24"/>
          <w:szCs w:val="24"/>
        </w:rPr>
        <w:t>/2024,</w:t>
      </w:r>
      <w:r>
        <w:rPr>
          <w:rFonts w:ascii="Times New Roman" w:hAnsi="Times New Roman"/>
          <w:b w:val="false"/>
          <w:bCs w:val="false"/>
          <w:spacing w:val="20"/>
          <w:sz w:val="24"/>
          <w:szCs w:val="24"/>
        </w:rPr>
        <w:t xml:space="preserve"> </w:t>
      </w:r>
      <w:r>
        <w:rPr>
          <w:rFonts w:ascii="Times New Roman" w:hAnsi="Times New Roman"/>
          <w:b w:val="false"/>
          <w:bCs w:val="false"/>
          <w:sz w:val="24"/>
          <w:szCs w:val="24"/>
        </w:rPr>
        <w:t xml:space="preserve">e o(a) ..............................,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w:t>
      </w:r>
      <w:hyperlink r:id="rId3" w:tooltip="http://www.planalto.gov.br/ccivil_03/_ato2019-2022/2021/lei/L14133.htm">
        <w:r>
          <w:rPr>
            <w:rStyle w:val="Hyperlink"/>
            <w:rFonts w:eastAsia="Arial" w:ascii="Times New Roman" w:hAnsi="Times New Roman"/>
            <w:b w:val="false"/>
            <w:bCs w:val="false"/>
            <w:sz w:val="24"/>
            <w:szCs w:val="24"/>
          </w:rPr>
          <w:t>Lei nº 14.133, de 1º de abril de 2021</w:t>
        </w:r>
      </w:hyperlink>
      <w:r>
        <w:rPr>
          <w:rFonts w:ascii="Times New Roman" w:hAnsi="Times New Roman"/>
          <w:b w:val="false"/>
          <w:bCs w:val="false"/>
          <w:sz w:val="24"/>
          <w:szCs w:val="24"/>
        </w:rPr>
        <w:t>, e demais legislação aplicável, resolvem celebrar o presente Termo de Contrato, decorrente do Pregão Eletrônico n. .../..., mediante as cláusulas e condições a seguir enunciadas.</w:t>
      </w:r>
    </w:p>
    <w:p>
      <w:pPr>
        <w:pStyle w:val="Normal"/>
        <w:rPr/>
      </w:pPr>
      <w:r>
        <w:rPr/>
      </w:r>
    </w:p>
    <w:p>
      <w:pPr>
        <w:pStyle w:val="Nivel01"/>
        <w:numPr>
          <w:ilvl w:val="0"/>
          <w:numId w:val="121"/>
        </w:numPr>
        <w:spacing w:lineRule="auto" w:line="312" w:before="120" w:after="288"/>
        <w:ind w:hanging="0" w:left="0"/>
        <w:rPr>
          <w:color w:themeColor="background1" w:val="FFFFFF"/>
        </w:rPr>
      </w:pPr>
      <w:r>
        <w:rPr/>
        <w:t>CLÁUSULA PRIMEIRA – OBJETO (</w:t>
      </w:r>
      <w:hyperlink r:id="rId4" w:tooltip="http://www.planalto.gov.br/ccivil_03/_ato2019-2022/2021/lei/L14133.htm#art92&quot; l &quot;art92">
        <w:r>
          <w:rPr>
            <w:rStyle w:val="Hyperlink"/>
          </w:rPr>
          <w:t>art. 92, I e II</w:t>
        </w:r>
      </w:hyperlink>
      <w:r>
        <w:rPr/>
        <w:t>)</w:t>
      </w:r>
    </w:p>
    <w:p>
      <w:pPr>
        <w:pStyle w:val="Nivel2"/>
        <w:numPr>
          <w:ilvl w:val="1"/>
          <w:numId w:val="122"/>
        </w:numPr>
        <w:spacing w:lineRule="auto" w:line="312" w:before="120" w:after="288"/>
        <w:ind w:firstLine="709" w:left="0"/>
        <w:rPr>
          <w:sz w:val="20"/>
          <w:szCs w:val="20"/>
        </w:rPr>
      </w:pPr>
      <w:r>
        <w:rPr>
          <w:sz w:val="20"/>
          <w:szCs w:val="20"/>
        </w:rPr>
        <w:t xml:space="preserve">O objeto do presente instrumento é a </w:t>
      </w:r>
      <w:r>
        <w:rPr>
          <w:rFonts w:ascii="Times New Roman" w:hAnsi="Times New Roman"/>
          <w:color w:val="000000"/>
          <w:sz w:val="20"/>
          <w:szCs w:val="20"/>
        </w:rPr>
        <w:t xml:space="preserve">Contratação de serviços de </w:t>
      </w:r>
      <w:r>
        <w:rPr>
          <w:rFonts w:eastAsia="Times New Roman" w:cs="Times New Roman" w:ascii="Times New Roman" w:hAnsi="Times New Roman"/>
          <w:color w:val="000000"/>
          <w:sz w:val="20"/>
          <w:szCs w:val="20"/>
        </w:rPr>
        <w:t>estudo ambiental com elaboração de Relatório de Controle Ambiental e Plano de Controle Ambiental (RCA/PCA) do Depósito Central de Munição</w:t>
      </w:r>
      <w:r>
        <w:rPr>
          <w:sz w:val="20"/>
          <w:szCs w:val="20"/>
        </w:rPr>
        <w:t>, nas condições estabelecidas no Termo de Referência.</w:t>
      </w:r>
    </w:p>
    <w:p>
      <w:pPr>
        <w:pStyle w:val="Nivel2"/>
        <w:numPr>
          <w:ilvl w:val="1"/>
          <w:numId w:val="123"/>
        </w:numPr>
        <w:spacing w:lineRule="auto" w:line="312" w:before="120" w:after="288"/>
        <w:ind w:firstLine="709" w:left="0"/>
        <w:rPr/>
      </w:pPr>
      <w:r>
        <w:rPr/>
        <w:t>Objeto da contratação:</w:t>
      </w:r>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61"/>
        <w:gridCol w:w="1275"/>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ITEM</w:t>
            </w:r>
          </w:p>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4"/>
        </w:numPr>
        <w:spacing w:lineRule="auto" w:line="312" w:before="120" w:after="288"/>
        <w:ind w:firstLine="567" w:left="0"/>
        <w:rPr/>
      </w:pPr>
      <w:r>
        <w:rPr/>
        <w:t>Vinculam esta contratação, independentemente de transcrição:</w:t>
      </w:r>
    </w:p>
    <w:p>
      <w:pPr>
        <w:pStyle w:val="Nivel3"/>
        <w:numPr>
          <w:ilvl w:val="2"/>
          <w:numId w:val="125"/>
        </w:numPr>
        <w:spacing w:lineRule="auto" w:line="312" w:before="120" w:after="288"/>
        <w:ind w:firstLine="709" w:left="170"/>
        <w:rPr/>
      </w:pPr>
      <w:r>
        <w:rPr/>
        <w:t>O Termo de Referência;</w:t>
      </w:r>
    </w:p>
    <w:p>
      <w:pPr>
        <w:pStyle w:val="Nivel3"/>
        <w:numPr>
          <w:ilvl w:val="2"/>
          <w:numId w:val="126"/>
        </w:numPr>
        <w:spacing w:lineRule="auto" w:line="312" w:before="120" w:after="288"/>
        <w:ind w:firstLine="709" w:left="170"/>
        <w:rPr/>
      </w:pPr>
      <w:r>
        <w:rPr/>
        <w:t>O Edital da Licitação;</w:t>
      </w:r>
    </w:p>
    <w:p>
      <w:pPr>
        <w:pStyle w:val="Nivel3"/>
        <w:numPr>
          <w:ilvl w:val="2"/>
          <w:numId w:val="127"/>
        </w:numPr>
        <w:spacing w:lineRule="auto" w:line="312" w:before="120" w:after="288"/>
        <w:ind w:firstLine="709" w:left="170"/>
        <w:rPr/>
      </w:pPr>
      <w:r>
        <w:rPr/>
        <w:t>A Proposta do contratado;</w:t>
      </w:r>
    </w:p>
    <w:p>
      <w:pPr>
        <w:pStyle w:val="Nivel3"/>
        <w:numPr>
          <w:ilvl w:val="2"/>
          <w:numId w:val="128"/>
        </w:numPr>
        <w:spacing w:lineRule="auto" w:line="312" w:before="120" w:after="288"/>
        <w:ind w:firstLine="709" w:left="170"/>
        <w:rPr/>
      </w:pPr>
      <w:r>
        <w:rPr/>
        <w:t>Eventuais anexos dos documentos supracitados.</w:t>
      </w:r>
    </w:p>
    <w:p>
      <w:pPr>
        <w:pStyle w:val="Nivel01"/>
        <w:numPr>
          <w:ilvl w:val="0"/>
          <w:numId w:val="129"/>
        </w:numPr>
        <w:spacing w:lineRule="auto" w:line="312" w:before="120" w:after="288"/>
        <w:ind w:hanging="0" w:left="0"/>
        <w:rPr>
          <w:color w:themeColor="background1" w:val="FFFFFF"/>
        </w:rPr>
      </w:pPr>
      <w:r>
        <w:rPr/>
        <w:t>CLÁUSULA SEGUNDA – VIGÊNCIA E PRORROGAÇÃO</w:t>
      </w:r>
    </w:p>
    <w:p>
      <w:pPr>
        <w:pStyle w:val="Nivel2"/>
        <w:numPr>
          <w:ilvl w:val="1"/>
          <w:numId w:val="130"/>
        </w:numPr>
        <w:ind w:firstLine="567" w:left="0"/>
        <w:rPr>
          <w:rFonts w:ascii="Times New Roman" w:hAnsi="Times New Roman" w:cs="Times New Roman"/>
          <w:sz w:val="24"/>
          <w:szCs w:val="24"/>
        </w:rPr>
      </w:pPr>
      <w:r>
        <w:rPr>
          <w:rFonts w:cs="Times New Roman" w:ascii="Times New Roman" w:hAnsi="Times New Roman"/>
          <w:sz w:val="24"/>
          <w:szCs w:val="24"/>
        </w:rPr>
        <w:t xml:space="preserve">O prazo de vigência da contratação é aquele fixado no Termo de Referência contados do (a) ............................., na forma </w:t>
      </w:r>
      <w:hyperlink r:id="rId5" w:tooltip="http://www.planalto.gov.br/ccivil_03/_ato2019-2022/2021/lei/L14133.htm#art105&quot; l &quot;art105">
        <w:r>
          <w:rPr>
            <w:rStyle w:val="Hyperlink"/>
            <w:rFonts w:cs="Times New Roman" w:ascii="Times New Roman" w:hAnsi="Times New Roman"/>
            <w:iCs/>
            <w:color w:val="auto"/>
            <w:sz w:val="24"/>
            <w:szCs w:val="24"/>
          </w:rPr>
          <w:t>do artigo 105 da Lei n° 14.133, de 2021</w:t>
        </w:r>
      </w:hyperlink>
      <w:r>
        <w:rPr>
          <w:rFonts w:cs="Times New Roman" w:ascii="Times New Roman" w:hAnsi="Times New Roman"/>
          <w:sz w:val="24"/>
          <w:szCs w:val="24"/>
        </w:rPr>
        <w:t>.</w:t>
      </w:r>
    </w:p>
    <w:p>
      <w:pPr>
        <w:pStyle w:val="Nivel2"/>
        <w:numPr>
          <w:ilvl w:val="0"/>
          <w:numId w:val="0"/>
        </w:numPr>
        <w:ind w:hanging="0" w:left="567"/>
        <w:rPr>
          <w:rFonts w:ascii="Times New Roman" w:hAnsi="Times New Roman" w:cs="Times New Roman"/>
          <w:sz w:val="24"/>
          <w:szCs w:val="24"/>
        </w:rPr>
      </w:pPr>
      <w:r>
        <w:rPr>
          <w:rFonts w:cs="Times New Roman" w:ascii="Times New Roman" w:hAnsi="Times New Roman"/>
          <w:sz w:val="24"/>
          <w:szCs w:val="24"/>
        </w:rPr>
      </w:r>
    </w:p>
    <w:p>
      <w:pPr>
        <w:pStyle w:val="Nivel2"/>
        <w:numPr>
          <w:ilvl w:val="1"/>
          <w:numId w:val="131"/>
        </w:numPr>
        <w:spacing w:lineRule="auto" w:line="312" w:before="120" w:after="288"/>
        <w:ind w:firstLine="567" w:left="0"/>
        <w:rPr>
          <w:iCs/>
          <w:color w:val="auto"/>
        </w:rPr>
      </w:pPr>
      <w:r>
        <w:rPr>
          <w:iCs/>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32"/>
        </w:numPr>
        <w:spacing w:lineRule="auto" w:line="312" w:before="120" w:after="288"/>
        <w:ind w:hanging="0" w:left="0"/>
        <w:rPr>
          <w:color w:themeColor="background1" w:val="FFFFFF"/>
        </w:rPr>
      </w:pPr>
      <w:bookmarkStart w:id="0" w:name="_Hlk114497577"/>
      <w:bookmarkStart w:id="1" w:name="_Hlk114497502"/>
      <w:bookmarkEnd w:id="0"/>
      <w:bookmarkEnd w:id="1"/>
      <w:r>
        <w:rPr/>
        <w:t>CLÁUSULA TERCEIRA – MODELOS DE EXECUÇÃO E GESTÃO CONTRATUAIS (</w:t>
      </w:r>
      <w:hyperlink r:id="rId6" w:tooltip="http://www.planalto.gov.br/ccivil_03/_ato2019-2022/2021/lei/L14133.htm#art92&quot; l &quot;art92">
        <w:r>
          <w:rPr>
            <w:rStyle w:val="Hyperlink"/>
          </w:rPr>
          <w:t>art. 92, IV, VII e XVIII)</w:t>
        </w:r>
      </w:hyperlink>
    </w:p>
    <w:p>
      <w:pPr>
        <w:pStyle w:val="Nivel2"/>
        <w:numPr>
          <w:ilvl w:val="1"/>
          <w:numId w:val="133"/>
        </w:numPr>
        <w:spacing w:lineRule="auto" w:line="312" w:before="120" w:after="288"/>
        <w:ind w:firstLine="567"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4"/>
        </w:numPr>
        <w:spacing w:lineRule="auto" w:line="312" w:before="120" w:after="288"/>
        <w:ind w:hanging="0" w:left="0"/>
        <w:rPr>
          <w:color w:themeColor="background1" w:val="FFFFFF"/>
        </w:rPr>
      </w:pPr>
      <w:r>
        <w:rPr/>
        <w:t>CLÁUSULA QUARTA – SUBCONTRATAÇÃO</w:t>
      </w:r>
    </w:p>
    <w:p>
      <w:pPr>
        <w:pStyle w:val="Nivel2"/>
        <w:numPr>
          <w:ilvl w:val="1"/>
          <w:numId w:val="135"/>
        </w:numPr>
        <w:spacing w:lineRule="auto" w:line="312" w:before="120" w:after="288"/>
        <w:ind w:firstLine="567" w:left="0"/>
        <w:rPr>
          <w:iCs/>
          <w:color w:val="auto"/>
        </w:rPr>
      </w:pPr>
      <w:r>
        <w:rPr>
          <w:iCs/>
          <w:color w:val="auto"/>
        </w:rPr>
        <w:t>Não será admitida a subcontratação do objeto contratual.</w:t>
      </w:r>
    </w:p>
    <w:p>
      <w:pPr>
        <w:pStyle w:val="Nivel2"/>
        <w:numPr>
          <w:ilvl w:val="0"/>
          <w:numId w:val="0"/>
        </w:numPr>
        <w:spacing w:lineRule="auto" w:line="312" w:before="120" w:after="288"/>
        <w:ind w:hanging="0" w:left="567"/>
        <w:rPr/>
      </w:pPr>
      <w:r>
        <w:rPr/>
      </w:r>
    </w:p>
    <w:p>
      <w:pPr>
        <w:pStyle w:val="Nivel01"/>
        <w:numPr>
          <w:ilvl w:val="0"/>
          <w:numId w:val="136"/>
        </w:numPr>
        <w:spacing w:lineRule="auto" w:line="312" w:before="120" w:after="288"/>
        <w:ind w:hanging="0" w:left="0"/>
        <w:rPr>
          <w:color w:themeColor="background1" w:val="FFFFFF"/>
        </w:rPr>
      </w:pPr>
      <w:r>
        <w:rPr/>
        <w:t>CLÁUSULA QUINTA - PREÇO</w:t>
      </w:r>
    </w:p>
    <w:p>
      <w:pPr>
        <w:pStyle w:val="Nivel2"/>
        <w:numPr>
          <w:ilvl w:val="1"/>
          <w:numId w:val="137"/>
        </w:numPr>
        <w:spacing w:lineRule="auto" w:line="312" w:before="120" w:after="288"/>
        <w:ind w:firstLine="567" w:left="0"/>
        <w:rPr>
          <w:iCs/>
          <w:color w:val="auto"/>
        </w:rPr>
      </w:pPr>
      <w:r>
        <w:rPr>
          <w:iCs/>
          <w:color w:val="auto"/>
        </w:rPr>
        <w:t>O valor total da contratação é de R$.......... (.....)</w:t>
      </w:r>
    </w:p>
    <w:p>
      <w:pPr>
        <w:pStyle w:val="Nivel2"/>
        <w:numPr>
          <w:ilvl w:val="1"/>
          <w:numId w:val="138"/>
        </w:numPr>
        <w:spacing w:lineRule="auto" w:line="312" w:before="120" w:after="288"/>
        <w:ind w:firstLine="567" w:left="0"/>
        <w:rPr>
          <w:iCs/>
          <w:color w:val="auto"/>
        </w:rPr>
      </w:pPr>
      <w:r>
        <w:rPr>
          <w:iCs/>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139"/>
        </w:numPr>
        <w:spacing w:lineRule="auto" w:line="312" w:before="120" w:after="288"/>
        <w:ind w:firstLine="567" w:left="0"/>
        <w:rPr>
          <w:iCs/>
          <w:color w:val="auto"/>
        </w:rPr>
      </w:pPr>
      <w:r>
        <w:rPr>
          <w:iCs/>
          <w:color w:val="auto"/>
        </w:rPr>
        <w:t>O valor acima é meramente estimativo, de forma que os pagamentos devidos ao contratado dependerão dos quantitativos efetivamente fornecidos.</w:t>
      </w:r>
    </w:p>
    <w:p>
      <w:pPr>
        <w:pStyle w:val="Nivel01"/>
        <w:numPr>
          <w:ilvl w:val="0"/>
          <w:numId w:val="140"/>
        </w:numPr>
        <w:spacing w:lineRule="auto" w:line="312" w:before="120" w:after="288"/>
        <w:ind w:hanging="0" w:left="0"/>
        <w:rPr>
          <w:color w:themeColor="background1" w:val="FFFFFF"/>
        </w:rPr>
      </w:pPr>
      <w:r>
        <w:rPr/>
        <w:t>CLÁUSULA SEXTA - PAGAMENTO (</w:t>
      </w:r>
      <w:hyperlink r:id="rId7" w:tooltip="http://www.planalto.gov.br/ccivil_03/_ato2019-2022/2021/lei/L14133.htm#art92&quot; l &quot;art92">
        <w:r>
          <w:rPr>
            <w:rStyle w:val="Hyperlink"/>
          </w:rPr>
          <w:t>art. 92, V e VI</w:t>
        </w:r>
      </w:hyperlink>
      <w:r>
        <w:rPr/>
        <w:t>)</w:t>
      </w:r>
    </w:p>
    <w:p>
      <w:pPr>
        <w:pStyle w:val="Nivel2"/>
        <w:numPr>
          <w:ilvl w:val="1"/>
          <w:numId w:val="141"/>
        </w:numPr>
        <w:spacing w:lineRule="auto" w:line="312" w:before="120" w:after="288"/>
        <w:ind w:firstLine="567"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42"/>
        </w:numPr>
        <w:spacing w:lineRule="auto" w:line="312" w:before="120" w:after="288"/>
        <w:ind w:hanging="0" w:left="0"/>
        <w:rPr>
          <w:color w:themeColor="background1" w:val="FFFFFF"/>
        </w:rPr>
      </w:pPr>
      <w:r>
        <w:rPr/>
        <w:t>CLÁUSULA SÉTIMA - REAJUSTE (</w:t>
      </w:r>
      <w:hyperlink r:id="rId8" w:tooltip="http://www.planalto.gov.br/ccivil_03/_ato2019-2022/2021/lei/L14133.htm#art92&quot; l &quot;art92">
        <w:r>
          <w:rPr>
            <w:rStyle w:val="Hyperlink"/>
          </w:rPr>
          <w:t>art. 92, V</w:t>
        </w:r>
      </w:hyperlink>
      <w:r>
        <w:rPr/>
        <w:t>)</w:t>
      </w:r>
    </w:p>
    <w:p>
      <w:pPr>
        <w:pStyle w:val="Nivel2"/>
        <w:numPr>
          <w:ilvl w:val="1"/>
          <w:numId w:val="143"/>
        </w:numPr>
        <w:spacing w:lineRule="auto" w:line="312" w:before="120" w:after="288"/>
        <w:ind w:firstLine="567" w:left="0"/>
        <w:rPr/>
      </w:pPr>
      <w:r>
        <w:rPr/>
        <w:t xml:space="preserve">Os preços inicialmente contratados são fixos e irreajustáveis no prazo de um ano contado da data do orçamento estimado, em </w:t>
      </w:r>
      <w:r>
        <w:rPr>
          <w:i/>
          <w:iCs/>
          <w:color w:val="auto"/>
        </w:rPr>
        <w:t>__/__/__ (DD/MM/AAAA)</w:t>
      </w:r>
      <w:r>
        <w:rPr>
          <w:color w:val="auto"/>
        </w:rPr>
        <w:t>.</w:t>
      </w:r>
    </w:p>
    <w:p>
      <w:pPr>
        <w:pStyle w:val="Nivel2"/>
        <w:numPr>
          <w:ilvl w:val="1"/>
          <w:numId w:val="144"/>
        </w:numPr>
        <w:spacing w:lineRule="auto" w:line="312" w:before="120" w:after="288"/>
        <w:ind w:firstLine="567" w:left="0"/>
        <w:rPr/>
      </w:pPr>
      <w:r>
        <w:rPr/>
        <w:t>Após o interregno de um ano, e independentemente de pedido do contratado, os preços iniciais serão reajustados, mediante a aplicação, pelo contratante, do índice IPCA</w:t>
      </w:r>
      <w:r>
        <w:rPr>
          <w:i/>
          <w:iCs/>
        </w:rPr>
        <w:t>,</w:t>
      </w:r>
      <w:r>
        <w:rPr/>
        <w:t xml:space="preserve"> exclusivamente para as obrigações iniciadas e concluídas após a ocorrência da anualidade.</w:t>
      </w:r>
    </w:p>
    <w:p>
      <w:pPr>
        <w:pStyle w:val="Nivel2"/>
        <w:numPr>
          <w:ilvl w:val="1"/>
          <w:numId w:val="145"/>
        </w:numPr>
        <w:spacing w:lineRule="auto" w:line="312" w:before="120" w:after="288"/>
        <w:ind w:firstLine="567" w:left="0"/>
        <w:rPr/>
      </w:pPr>
      <w:r>
        <w:rPr/>
        <w:t>Nos reajustes subsequentes ao primeiro, o interregno mínimo de um ano será contado a partir dos efeitos financeiros do último reajuste.</w:t>
      </w:r>
    </w:p>
    <w:p>
      <w:pPr>
        <w:pStyle w:val="Nivel2"/>
        <w:numPr>
          <w:ilvl w:val="1"/>
          <w:numId w:val="146"/>
        </w:numPr>
        <w:spacing w:lineRule="auto" w:line="312" w:before="120" w:after="288"/>
        <w:ind w:firstLine="567" w:left="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47"/>
        </w:numPr>
        <w:spacing w:lineRule="auto" w:line="312" w:before="120" w:after="288"/>
        <w:ind w:firstLine="567" w:left="0"/>
        <w:rPr/>
      </w:pPr>
      <w:r>
        <w:rPr/>
        <w:t>Nas aferições finais, o(s) índice(s) utilizado(s) para reajuste será(ão), obrigatoriamente, o(s) definitivo(s).</w:t>
      </w:r>
    </w:p>
    <w:p>
      <w:pPr>
        <w:pStyle w:val="Nivel2"/>
        <w:numPr>
          <w:ilvl w:val="1"/>
          <w:numId w:val="148"/>
        </w:numPr>
        <w:spacing w:lineRule="auto" w:line="312" w:before="120" w:after="288"/>
        <w:ind w:firstLine="567" w:left="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9"/>
        </w:numPr>
        <w:spacing w:lineRule="auto" w:line="312" w:before="120" w:after="288"/>
        <w:ind w:firstLine="567" w:left="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50"/>
        </w:numPr>
        <w:spacing w:lineRule="auto" w:line="312" w:before="120" w:after="288"/>
        <w:ind w:firstLine="567" w:left="0"/>
        <w:rPr/>
      </w:pPr>
      <w:r>
        <w:rPr/>
        <w:t>O reajuste será realizado por apostilamento.</w:t>
      </w:r>
    </w:p>
    <w:p>
      <w:pPr>
        <w:pStyle w:val="Nivel01"/>
        <w:numPr>
          <w:ilvl w:val="0"/>
          <w:numId w:val="151"/>
        </w:numPr>
        <w:spacing w:lineRule="auto" w:line="312" w:before="120" w:after="288"/>
        <w:ind w:hanging="0" w:left="0"/>
        <w:rPr>
          <w:color w:themeColor="background1" w:val="FFFFFF"/>
        </w:rPr>
      </w:pPr>
      <w:r>
        <w:rPr/>
        <w:t xml:space="preserve">CLÁUSULA OITAVA - OBRIGAÇÕES DO CONTRATANTE </w:t>
      </w:r>
      <w:hyperlink r:id="rId9" w:tooltip="http://www.planalto.gov.br/ccivil_03/_ato2019-2022/2021/lei/L14133.htm#art92&quot; l &quot;art92">
        <w:r>
          <w:rPr>
            <w:rStyle w:val="Hyperlink"/>
          </w:rPr>
          <w:t>(art. 92, X, XI e XIV</w:t>
        </w:r>
      </w:hyperlink>
      <w:r>
        <w:rPr/>
        <w:t>)</w:t>
      </w:r>
    </w:p>
    <w:p>
      <w:pPr>
        <w:pStyle w:val="Nivel2"/>
        <w:numPr>
          <w:ilvl w:val="1"/>
          <w:numId w:val="152"/>
        </w:numPr>
        <w:spacing w:lineRule="auto" w:line="312" w:before="120" w:after="288"/>
        <w:ind w:firstLine="567" w:left="0"/>
        <w:rPr>
          <w:b/>
          <w:bCs/>
        </w:rPr>
      </w:pPr>
      <w:r>
        <w:rPr/>
        <w:t>São obrigações do Contratante:</w:t>
      </w:r>
    </w:p>
    <w:p>
      <w:pPr>
        <w:pStyle w:val="Nivel2"/>
        <w:numPr>
          <w:ilvl w:val="1"/>
          <w:numId w:val="153"/>
        </w:numPr>
        <w:spacing w:lineRule="auto" w:line="312" w:before="120" w:after="288"/>
        <w:ind w:firstLine="567" w:left="0"/>
        <w:rPr/>
      </w:pPr>
      <w:r>
        <w:rPr/>
        <w:t>Exigir o cumprimento de todas as obrigações assumidas pelo Contratado, de acordo com o contrato e seus anexos;</w:t>
      </w:r>
    </w:p>
    <w:p>
      <w:pPr>
        <w:pStyle w:val="Nivel2"/>
        <w:numPr>
          <w:ilvl w:val="1"/>
          <w:numId w:val="154"/>
        </w:numPr>
        <w:spacing w:lineRule="auto" w:line="312" w:before="120" w:after="288"/>
        <w:ind w:firstLine="567" w:left="0"/>
        <w:rPr/>
      </w:pPr>
      <w:r>
        <w:rPr/>
        <w:t>Receber o objeto no prazo e condições estabelecidas no Termo de Referência;</w:t>
      </w:r>
    </w:p>
    <w:p>
      <w:pPr>
        <w:pStyle w:val="Nivel2"/>
        <w:numPr>
          <w:ilvl w:val="1"/>
          <w:numId w:val="155"/>
        </w:numPr>
        <w:spacing w:lineRule="auto" w:line="312" w:before="120" w:after="288"/>
        <w:ind w:firstLine="567" w:left="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6"/>
        </w:numPr>
        <w:spacing w:lineRule="auto" w:line="312" w:before="120" w:after="288"/>
        <w:ind w:firstLine="567" w:left="0"/>
        <w:rPr/>
      </w:pPr>
      <w:r>
        <w:rPr/>
        <w:t>Acompanhar e fiscalizar a execução do contrato e o cumprimento das obrigações pelo Contratado;</w:t>
      </w:r>
    </w:p>
    <w:p>
      <w:pPr>
        <w:pStyle w:val="Nivel2"/>
        <w:numPr>
          <w:ilvl w:val="1"/>
          <w:numId w:val="157"/>
        </w:numPr>
        <w:spacing w:lineRule="auto" w:line="312" w:before="120" w:after="288"/>
        <w:ind w:firstLine="567" w:left="0"/>
        <w:rPr/>
      </w:pPr>
      <w:r>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58"/>
        </w:numPr>
        <w:spacing w:lineRule="auto" w:line="312" w:before="120" w:after="288"/>
        <w:ind w:firstLine="567" w:left="0"/>
        <w:rPr/>
      </w:pPr>
      <w:r>
        <w:rPr/>
        <w:t>Efetuar o pagamento ao Contratado do valor correspondente à execução do objeto, no prazo, forma e condições estabelecidos no presente Contrato e no Termo de Referência;</w:t>
      </w:r>
    </w:p>
    <w:p>
      <w:pPr>
        <w:pStyle w:val="Nivel2"/>
        <w:numPr>
          <w:ilvl w:val="1"/>
          <w:numId w:val="159"/>
        </w:numPr>
        <w:spacing w:lineRule="auto" w:line="312" w:before="120" w:after="288"/>
        <w:ind w:firstLine="567" w:left="0"/>
        <w:rPr/>
      </w:pPr>
      <w:r>
        <w:rPr/>
        <w:t xml:space="preserve">Aplicar ao Contratado as sanções previstas na lei e neste Contrato; </w:t>
      </w:r>
    </w:p>
    <w:p>
      <w:pPr>
        <w:pStyle w:val="Nivel2"/>
        <w:numPr>
          <w:ilvl w:val="1"/>
          <w:numId w:val="160"/>
        </w:numPr>
        <w:spacing w:lineRule="auto" w:line="312" w:before="120" w:after="288"/>
        <w:ind w:firstLine="567" w:left="0"/>
        <w:rPr/>
      </w:pPr>
      <w:r>
        <w:rPr/>
        <w:t>Cientificar o órgão de representação judicial da Advocacia-Geral da União para adoção das medidas cabíveis quando do descumprimento de obrigações pelo Contratado;</w:t>
      </w:r>
    </w:p>
    <w:p>
      <w:pPr>
        <w:pStyle w:val="Nivel2"/>
        <w:numPr>
          <w:ilvl w:val="1"/>
          <w:numId w:val="161"/>
        </w:numPr>
        <w:spacing w:lineRule="auto" w:line="312" w:before="120" w:after="288"/>
        <w:ind w:firstLine="567" w:left="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62"/>
        </w:numPr>
        <w:spacing w:lineRule="auto" w:line="312" w:before="120" w:after="288"/>
        <w:ind w:firstLine="709" w:left="170"/>
        <w:rPr>
          <w:b/>
          <w:bCs/>
          <w:color w:val="auto"/>
        </w:rPr>
      </w:pPr>
      <w:r>
        <w:rPr/>
        <w:t xml:space="preserve"> </w:t>
      </w:r>
      <w:r>
        <w:rPr/>
        <w:t xml:space="preserve">A </w:t>
      </w:r>
      <w:r>
        <w:rPr>
          <w:color w:val="auto"/>
        </w:rPr>
        <w:t xml:space="preserve">Administração terá o prazo de 30 (trinta) dias, a contar da data do protocolo do requerimento para decidir, admitida a prorrogação motivada, por igual período. </w:t>
      </w:r>
    </w:p>
    <w:p>
      <w:pPr>
        <w:pStyle w:val="Nivel2"/>
        <w:numPr>
          <w:ilvl w:val="1"/>
          <w:numId w:val="163"/>
        </w:numPr>
        <w:spacing w:lineRule="auto" w:line="312" w:before="120" w:after="288"/>
        <w:ind w:firstLine="567" w:left="0"/>
        <w:rPr>
          <w:color w:val="auto"/>
        </w:rPr>
      </w:pPr>
      <w:r>
        <w:rPr>
          <w:color w:val="auto"/>
        </w:rPr>
        <w:t>Responder eventuais pedidos de reestabelecimento do equilíbrio econômico-financeiro feitos pelo contratado no prazo máximo de 15 (quinze) dias.</w:t>
      </w:r>
    </w:p>
    <w:p>
      <w:pPr>
        <w:pStyle w:val="Nvel2-Red"/>
        <w:numPr>
          <w:ilvl w:val="1"/>
          <w:numId w:val="164"/>
        </w:numPr>
        <w:spacing w:lineRule="auto" w:line="312" w:before="120" w:after="288"/>
        <w:ind w:firstLine="567" w:left="0"/>
        <w:rPr>
          <w:i w:val="false"/>
          <w:i w:val="false"/>
          <w:iCs w:val="false"/>
          <w:color w:val="auto"/>
        </w:rPr>
      </w:pPr>
      <w:bookmarkStart w:id="2" w:name="_Hlk114499841"/>
      <w:bookmarkEnd w:id="2"/>
      <w:r>
        <w:rPr>
          <w:i w:val="false"/>
          <w:iCs w:val="false"/>
          <w:color w:val="auto"/>
        </w:rPr>
        <w:t>Notificar os emitentes das garantias quanto ao início de processo administrativo para apuração de descumprimento de cláusulas contratuais.</w:t>
      </w:r>
    </w:p>
    <w:p>
      <w:pPr>
        <w:pStyle w:val="Nivel2"/>
        <w:numPr>
          <w:ilvl w:val="1"/>
          <w:numId w:val="165"/>
        </w:numPr>
        <w:spacing w:lineRule="auto" w:line="312" w:before="120" w:after="288"/>
        <w:ind w:firstLine="567" w:left="0"/>
        <w:rPr/>
      </w:pPr>
      <w:r>
        <w:rPr/>
        <w:t xml:space="preserve">Comunicar o Contratado na hipótese de posterior alteração do projeto pelo Contratante, no caso </w:t>
      </w:r>
      <w:hyperlink r:id="rId10" w:tooltip="http://www.planalto.gov.br/ccivil_03/_ato2019-2022/2021/lei/L14133.htm#art93§2&quot; l &quot;art93§2">
        <w:r>
          <w:rPr>
            <w:rStyle w:val="Hyperlink"/>
          </w:rPr>
          <w:t>do art. 93, §2º, da Lei nº 14.133, de 2021</w:t>
        </w:r>
      </w:hyperlink>
      <w:r>
        <w:rPr/>
        <w:t>.</w:t>
      </w:r>
    </w:p>
    <w:p>
      <w:pPr>
        <w:pStyle w:val="Nivel2"/>
        <w:numPr>
          <w:ilvl w:val="1"/>
          <w:numId w:val="166"/>
        </w:numPr>
        <w:spacing w:lineRule="auto" w:line="312" w:before="120" w:after="288"/>
        <w:ind w:firstLine="567"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7"/>
        </w:numPr>
        <w:spacing w:lineRule="auto" w:line="312" w:before="120" w:after="288"/>
        <w:ind w:hanging="0" w:left="0"/>
        <w:rPr>
          <w:color w:themeColor="background1" w:val="FFFFFF"/>
        </w:rPr>
      </w:pPr>
      <w:r>
        <w:rPr/>
        <w:t>CLÁUSULA NONA - OBRIGAÇÕES DO CONTRATADO (</w:t>
      </w:r>
      <w:hyperlink r:id="rId11" w:tooltip="http://www.planalto.gov.br/ccivil_03/_ato2019-2022/2021/lei/L14133.htm#art92&quot; l &quot;art92">
        <w:r>
          <w:rPr>
            <w:rStyle w:val="Hyperlink"/>
          </w:rPr>
          <w:t>art. 92, XIV, XVI e XVII</w:t>
        </w:r>
      </w:hyperlink>
      <w:r>
        <w:rPr/>
        <w:t>)</w:t>
      </w:r>
    </w:p>
    <w:p>
      <w:pPr>
        <w:pStyle w:val="Nivel2"/>
        <w:numPr>
          <w:ilvl w:val="1"/>
          <w:numId w:val="168"/>
        </w:numPr>
        <w:spacing w:lineRule="auto" w:line="312" w:before="120" w:after="288"/>
        <w:ind w:firstLine="709"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9"/>
        </w:numPr>
        <w:spacing w:lineRule="auto" w:line="312" w:before="120" w:after="288"/>
        <w:ind w:firstLine="709" w:left="0"/>
        <w:rPr/>
      </w:pPr>
      <w:r>
        <w:rPr/>
        <w:t>Manter preposto aceito pela Administração no local da obra ou do serviço para representá-lo na execução do contrato.</w:t>
      </w:r>
    </w:p>
    <w:p>
      <w:pPr>
        <w:pStyle w:val="Nivel3"/>
        <w:numPr>
          <w:ilvl w:val="2"/>
          <w:numId w:val="170"/>
        </w:numPr>
        <w:spacing w:lineRule="auto" w:line="312" w:before="120" w:after="288"/>
        <w:ind w:firstLine="709" w:left="17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71"/>
        </w:numPr>
        <w:spacing w:lineRule="auto" w:line="312" w:before="120" w:after="288"/>
        <w:ind w:firstLine="567" w:left="0"/>
        <w:rPr/>
      </w:pPr>
      <w:r>
        <w:rPr/>
        <w:t>Atender às determinações regulares emitidas pelo fiscal do contrato ou autoridade superior (</w:t>
      </w:r>
      <w:hyperlink r:id="rId12" w:tooltip="http://www.planalto.gov.br/ccivil_03/_ato2019-2022/2021/lei/L14133.htm#art137&quot; l &quot;art137">
        <w:r>
          <w:rPr>
            <w:rStyle w:val="Hyperlink"/>
          </w:rPr>
          <w:t>art. 137, II</w:t>
        </w:r>
      </w:hyperlink>
      <w:r>
        <w:rPr/>
        <w:t>);</w:t>
      </w:r>
    </w:p>
    <w:p>
      <w:pPr>
        <w:pStyle w:val="Nivel2"/>
        <w:numPr>
          <w:ilvl w:val="1"/>
          <w:numId w:val="172"/>
        </w:numPr>
        <w:spacing w:lineRule="auto" w:line="312" w:before="120" w:after="288"/>
        <w:ind w:firstLine="567" w:left="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73"/>
        </w:numPr>
        <w:spacing w:lineRule="auto" w:line="312" w:before="120" w:after="288"/>
        <w:ind w:firstLine="567" w:left="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74"/>
        </w:numPr>
        <w:spacing w:lineRule="auto" w:line="312" w:before="120" w:after="288"/>
        <w:ind w:firstLine="567" w:left="0"/>
        <w:rPr/>
      </w:pPr>
      <w:r>
        <w:rPr/>
        <w:t xml:space="preserve">Responsabilizar-se pelos vícios e danos decorrentes da execução do objeto, de acordo com o </w:t>
      </w:r>
      <w:hyperlink r:id="rId13" w:tooltip="https://www.planalto.gov.br/ccivil_03/leis/l8078compilado.htm">
        <w:r>
          <w:rPr>
            <w:rStyle w:val="Hyperlink"/>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75"/>
        </w:numPr>
        <w:spacing w:lineRule="auto" w:line="312" w:before="120" w:after="288"/>
        <w:ind w:firstLine="567" w:left="0"/>
        <w:rPr/>
      </w:pPr>
      <w:r>
        <w:rPr/>
        <w:t xml:space="preserve">Não contratar, durante a vigência do contrato, cônjuge, companheiro ou parente em linha reta, colateral ou por afinidade, até o terceiro grau, de dirigente do contratante ou do fiscal ou gestor do contrato, nos termos do </w:t>
      </w:r>
      <w:hyperlink r:id="rId14" w:tooltip="http://www.planalto.gov.br/ccivil_03/_ato2019-2022/2021/lei/L14133.htm#art48&quot; l &quot;art48">
        <w:r>
          <w:rPr>
            <w:rStyle w:val="Hyperlink"/>
          </w:rPr>
          <w:t>artigo 48, parágrafo único, da Lei nº 14.133, de 2021</w:t>
        </w:r>
      </w:hyperlink>
      <w:r>
        <w:rPr/>
        <w:t>;</w:t>
      </w:r>
    </w:p>
    <w:p>
      <w:pPr>
        <w:pStyle w:val="Nivel2"/>
        <w:numPr>
          <w:ilvl w:val="1"/>
          <w:numId w:val="176"/>
        </w:numPr>
        <w:spacing w:lineRule="auto" w:line="312" w:before="120" w:after="288"/>
        <w:ind w:firstLine="567" w:left="0"/>
        <w:rPr/>
      </w:pPr>
      <w:r>
        <w:rPr>
          <w:color w:themeColor="text1" w:val="000000"/>
        </w:rPr>
        <w:t xml:space="preserve">Quando não for possível a verificação da regularidade no Sistema de Cadastro </w:t>
      </w:r>
      <w:r>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77"/>
        </w:numPr>
        <w:spacing w:lineRule="auto" w:line="312" w:before="120" w:after="288"/>
        <w:ind w:firstLine="567" w:left="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78"/>
        </w:numPr>
        <w:spacing w:lineRule="auto" w:line="312" w:before="120" w:after="288"/>
        <w:ind w:firstLine="567" w:left="0"/>
        <w:rPr/>
      </w:pPr>
      <w:r>
        <w:rPr/>
        <w:t>Comunicar ao Fiscal do contrato, no prazo de 24 (vinte e quatro) horas, qualquer ocorrência anormal ou acidente que se verifique no local dos serviços.</w:t>
      </w:r>
    </w:p>
    <w:p>
      <w:pPr>
        <w:pStyle w:val="Nivel2"/>
        <w:numPr>
          <w:ilvl w:val="1"/>
          <w:numId w:val="179"/>
        </w:numPr>
        <w:spacing w:lineRule="auto" w:line="312" w:before="120" w:after="288"/>
        <w:ind w:firstLine="567" w:left="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80"/>
        </w:numPr>
        <w:spacing w:lineRule="auto" w:line="312" w:before="120" w:after="288"/>
        <w:ind w:firstLine="567"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81"/>
        </w:numPr>
        <w:spacing w:lineRule="auto" w:line="312" w:before="120" w:after="288"/>
        <w:ind w:firstLine="567" w:left="0"/>
        <w:rPr/>
      </w:pPr>
      <w:r>
        <w:rPr/>
        <w:t>Promover a guarda, manutenção e vigilância de materiais, ferramentas, e tudo o que for necessário à execução do objeto, durante a vigência do contrato.</w:t>
      </w:r>
    </w:p>
    <w:p>
      <w:pPr>
        <w:pStyle w:val="Nivel2"/>
        <w:numPr>
          <w:ilvl w:val="1"/>
          <w:numId w:val="182"/>
        </w:numPr>
        <w:spacing w:lineRule="auto" w:line="312" w:before="120" w:after="288"/>
        <w:ind w:firstLine="567" w:left="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83"/>
        </w:numPr>
        <w:spacing w:lineRule="auto" w:line="312" w:before="120" w:after="288"/>
        <w:ind w:firstLine="567"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84"/>
        </w:numPr>
        <w:spacing w:lineRule="auto" w:line="312" w:before="120" w:after="288"/>
        <w:ind w:firstLine="567" w:left="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85"/>
        </w:numPr>
        <w:spacing w:lineRule="auto" w:line="312" w:before="120" w:after="288"/>
        <w:ind w:firstLine="567" w:left="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86"/>
        </w:numPr>
        <w:spacing w:lineRule="auto" w:line="312" w:before="120" w:after="288"/>
        <w:ind w:firstLine="567" w:left="0"/>
        <w:rPr>
          <w:b/>
          <w:bCs/>
        </w:rPr>
      </w:pPr>
      <w:r>
        <w:rPr/>
        <w:t>Cumprir, durante todo o período de execução do contrato, a reserva de cargos prevista em lei para pessoa com deficiência, para reabilitado da Previdência Social ou para aprendiz, bem como as reservas de cargos previstas na legislação (</w:t>
      </w:r>
      <w:hyperlink r:id="rId15" w:tooltip="http://www.planalto.gov.br/ccivil_03/_ato2019-2022/2021/lei/L14133.htm#art116&quot; l &quot;art116">
        <w:r>
          <w:rPr>
            <w:rStyle w:val="Hyperlink"/>
          </w:rPr>
          <w:t>art. 116</w:t>
        </w:r>
      </w:hyperlink>
      <w:r>
        <w:rPr/>
        <w:t>);</w:t>
      </w:r>
    </w:p>
    <w:p>
      <w:pPr>
        <w:pStyle w:val="Nivel2"/>
        <w:numPr>
          <w:ilvl w:val="1"/>
          <w:numId w:val="187"/>
        </w:numPr>
        <w:spacing w:lineRule="auto" w:line="312" w:before="120" w:after="288"/>
        <w:ind w:firstLine="567" w:left="0"/>
        <w:rPr/>
      </w:pPr>
      <w:r>
        <w:rPr/>
        <w:t>Comprovar a reserva de cargos a que se refere a cláusula acima, no prazo fixado pelo fiscal do contrato, com a indicação dos empregados que preencheram as referidas vagas (</w:t>
      </w:r>
      <w:hyperlink r:id="rId16" w:tooltip="http://www.planalto.gov.br/ccivil_03/_ato2019-2022/2021/lei/L14133.htm#art116&quot; l &quot;art116">
        <w:r>
          <w:rPr>
            <w:rStyle w:val="Hyperlink"/>
          </w:rPr>
          <w:t>art. 116, parágrafo único</w:t>
        </w:r>
      </w:hyperlink>
      <w:r>
        <w:rPr/>
        <w:t>);</w:t>
      </w:r>
    </w:p>
    <w:p>
      <w:pPr>
        <w:pStyle w:val="Nivel2"/>
        <w:numPr>
          <w:ilvl w:val="1"/>
          <w:numId w:val="188"/>
        </w:numPr>
        <w:spacing w:lineRule="auto" w:line="312" w:before="120" w:after="288"/>
        <w:ind w:firstLine="567" w:left="0"/>
        <w:rPr/>
      </w:pPr>
      <w:r>
        <w:rPr/>
        <w:t>Guardar sigilo sobre todas as informações obtidas em decorrência do cumprimento do contrato;</w:t>
      </w:r>
    </w:p>
    <w:p>
      <w:pPr>
        <w:pStyle w:val="Nivel2"/>
        <w:numPr>
          <w:ilvl w:val="1"/>
          <w:numId w:val="189"/>
        </w:numPr>
        <w:spacing w:lineRule="auto" w:line="312" w:before="120" w:after="288"/>
        <w:ind w:firstLine="567" w:left="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tooltip="http://www.planalto.gov.br/ccivil_03/_ato2019-2022/2021/lei/L14133.htm#art124&quot; l &quot;art124">
        <w:r>
          <w:rPr>
            <w:rStyle w:val="Hyperlink"/>
          </w:rPr>
          <w:t>art. 124, II, d, da Lei nº 14.133, de 2021</w:t>
        </w:r>
      </w:hyperlink>
      <w:r>
        <w:rPr/>
        <w:t>;</w:t>
      </w:r>
    </w:p>
    <w:p>
      <w:pPr>
        <w:pStyle w:val="Nivel2"/>
        <w:numPr>
          <w:ilvl w:val="1"/>
          <w:numId w:val="190"/>
        </w:numPr>
        <w:spacing w:lineRule="auto" w:line="312" w:before="120" w:after="288"/>
        <w:ind w:firstLine="567" w:left="0"/>
        <w:rPr/>
      </w:pPr>
      <w:r>
        <w:rPr/>
        <w:t>Cumprir, além dos postulados legais vigentes de âmbito federal, estadual ou municipal, as normas de segurança do Contratante;</w:t>
      </w:r>
    </w:p>
    <w:p>
      <w:pPr>
        <w:pStyle w:val="Nivel01"/>
        <w:numPr>
          <w:ilvl w:val="0"/>
          <w:numId w:val="191"/>
        </w:numPr>
        <w:spacing w:lineRule="auto" w:line="312" w:before="120" w:after="288"/>
        <w:ind w:hanging="0" w:left="0"/>
        <w:rPr>
          <w:color w:themeColor="background1" w:val="FFFFFF"/>
        </w:rPr>
      </w:pPr>
      <w:r>
        <w:rPr/>
        <w:t>CLÁUSULA DÉCIMA PRIMEIRA – GARANTIA DE EXECUÇÃO (</w:t>
      </w:r>
      <w:hyperlink r:id="rId18" w:tooltip="http://www.planalto.gov.br/ccivil_03/_ato2019-2022/2021/lei/L14133.htm#art92&quot; l &quot;art92">
        <w:r>
          <w:rPr>
            <w:rStyle w:val="Hyperlink"/>
          </w:rPr>
          <w:t>art. 92, XII e XIII</w:t>
        </w:r>
      </w:hyperlink>
      <w:r>
        <w:rPr/>
        <w:t>)</w:t>
      </w:r>
    </w:p>
    <w:p>
      <w:pPr>
        <w:pStyle w:val="Nivel2"/>
        <w:numPr>
          <w:ilvl w:val="1"/>
          <w:numId w:val="192"/>
        </w:numPr>
        <w:spacing w:lineRule="auto" w:line="312" w:before="120" w:after="288"/>
        <w:ind w:firstLine="567" w:left="0"/>
        <w:rPr>
          <w:iCs/>
          <w:color w:val="auto"/>
        </w:rPr>
      </w:pPr>
      <w:r>
        <w:rPr>
          <w:iCs/>
          <w:color w:val="auto"/>
        </w:rPr>
        <w:t>Não haverá exigência de garantia contratual da execução.</w:t>
      </w:r>
    </w:p>
    <w:p>
      <w:pPr>
        <w:pStyle w:val="Nivel01"/>
        <w:numPr>
          <w:ilvl w:val="0"/>
          <w:numId w:val="193"/>
        </w:numPr>
        <w:spacing w:lineRule="auto" w:line="312" w:before="120" w:after="288"/>
        <w:ind w:hanging="0" w:left="0"/>
        <w:rPr>
          <w:color w:themeColor="background1" w:val="FFFFFF"/>
        </w:rPr>
      </w:pPr>
      <w:r>
        <w:rPr/>
        <w:t>CLÁUSULA DÉCIMA SEGUNDA – INFRAÇÕES E SANÇÕES ADMINISTRATIVAS (</w:t>
      </w:r>
      <w:hyperlink r:id="rId19" w:tooltip="http://www.planalto.gov.br/ccivil_03/_ato2019-2022/2021/lei/L14133.htm#art92&quot; l &quot;art92">
        <w:r>
          <w:rPr>
            <w:rStyle w:val="Hyperlink"/>
          </w:rPr>
          <w:t>art. 92, XIV</w:t>
        </w:r>
      </w:hyperlink>
      <w:r>
        <w:rPr/>
        <w:t>)</w:t>
      </w:r>
    </w:p>
    <w:p>
      <w:pPr>
        <w:pStyle w:val="Nivel2"/>
        <w:numPr>
          <w:ilvl w:val="1"/>
          <w:numId w:val="194"/>
        </w:numPr>
        <w:spacing w:lineRule="auto" w:line="312" w:before="120" w:after="288"/>
        <w:ind w:firstLine="567" w:left="0"/>
        <w:rPr/>
      </w:pPr>
      <w:r>
        <w:rPr/>
        <w:t xml:space="preserve">Comete infração administrativa, nos termos da </w:t>
      </w:r>
      <w:hyperlink r:id="rId20" w:tooltip="http://www.planalto.gov.br/ccivil_03/_ato2019-2022/2021/lei/L14133.htm">
        <w:r>
          <w:rPr>
            <w:rStyle w:val="Hyperlink"/>
          </w:rPr>
          <w:t>Lei nº 14.133, de 2021</w:t>
        </w:r>
      </w:hyperlink>
      <w:r>
        <w:rPr/>
        <w:t>, o contratado que:</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95"/>
        </w:numPr>
        <w:spacing w:lineRule="auto" w:line="312" w:before="120" w:after="288"/>
        <w:ind w:firstLine="567" w:left="0"/>
        <w:rPr/>
      </w:pPr>
      <w:r>
        <w:rPr/>
        <w:t>Serão aplicadas ao contratado que incorrer nas infrações acima descritas as seguintes sanções:</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hyperlink r:id="rId21" w:tooltip="http://www.planalto.gov.br/ccivil_03/_ato2019-2022/2021/lei/L14133.htm#art156§2&quot; l &quot;art156§2">
        <w:r>
          <w:rPr>
            <w:rStyle w:val="Hyperlink"/>
            <w:rFonts w:eastAsia="Arial" w:cs="Arial" w:ascii="Arial" w:hAnsi="Arial"/>
            <w:sz w:val="20"/>
            <w:szCs w:val="20"/>
          </w:rPr>
          <w:t xml:space="preserve">art. 156, §2º, da </w:t>
        </w:r>
        <w:bookmarkStart w:id="3" w:name="_Hlk114504069"/>
        <w:r>
          <w:rPr>
            <w:rStyle w:val="Hyperlink"/>
            <w:rFonts w:eastAsia="Arial" w:cs="Arial" w:ascii="Arial" w:hAnsi="Arial"/>
            <w:sz w:val="20"/>
            <w:szCs w:val="20"/>
          </w:rPr>
          <w:t>Lei nº 14.133, de 2021</w:t>
        </w:r>
      </w:hyperlink>
      <w:bookmarkEnd w:id="3"/>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hyperlink r:id="rId22" w:tooltip="http://www.planalto.gov.br/ccivil_03/_ato2019-2022/2021/lei/L14133.htm#art156§4&quot; l &quot;art156§4">
        <w:r>
          <w:rPr>
            <w:rStyle w:val="Hyperlink"/>
            <w:rFonts w:eastAsia="Arial" w:cs="Arial" w:ascii="Arial" w:hAnsi="Arial"/>
            <w:sz w:val="20"/>
            <w:szCs w:val="20"/>
          </w:rPr>
          <w:t>art. 156, § 4º,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hyperlink r:id="rId23" w:tooltip="http://www.planalto.gov.br/ccivil_03/_ato2019-2022/2021/lei/L14133.htm#art156§5&quot; l &quot;art156§5">
        <w:r>
          <w:rPr>
            <w:rStyle w:val="Hyperlink"/>
            <w:rFonts w:eastAsia="Arial" w:cs="Arial" w:ascii="Arial" w:hAnsi="Arial"/>
            <w:sz w:val="20"/>
            <w:szCs w:val="20"/>
          </w:rPr>
          <w:t>art. 156, §5º,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moratória de  1 % (um por cento) por dia de atraso injustificado sobre o valor da parcela inadimplida, até o limite de 30 (trinta) dias;</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compensatória de 10 % (dez por cento) sobre o valor total do contrato, no caso de inexecução total do objeto;</w:t>
      </w:r>
    </w:p>
    <w:p>
      <w:pPr>
        <w:pStyle w:val="Nivel2"/>
        <w:numPr>
          <w:ilvl w:val="1"/>
          <w:numId w:val="196"/>
        </w:numPr>
        <w:spacing w:lineRule="auto" w:line="312" w:before="120" w:after="288"/>
        <w:ind w:firstLine="709" w:left="0"/>
        <w:rPr/>
      </w:pPr>
      <w:r>
        <w:rPr/>
        <w:t>A aplicação das sanções previstas neste Contrato não exclui, em hipótese alguma, a obrigação de reparação integral do dano causado ao Contratante (</w:t>
      </w:r>
      <w:hyperlink r:id="rId24" w:tooltip="http://www.planalto.gov.br/ccivil_03/_ato2019-2022/2021/lei/L14133.htm#art156§9&quot; l &quot;art156§9">
        <w:r>
          <w:rPr>
            <w:rStyle w:val="Hyperlink"/>
          </w:rPr>
          <w:t>art. 156, §9º, da Lei nº 14.133, de 2021</w:t>
        </w:r>
      </w:hyperlink>
      <w:r>
        <w:rPr/>
        <w:t>)</w:t>
      </w:r>
    </w:p>
    <w:p>
      <w:pPr>
        <w:pStyle w:val="Nivel2"/>
        <w:numPr>
          <w:ilvl w:val="1"/>
          <w:numId w:val="197"/>
        </w:numPr>
        <w:spacing w:lineRule="auto" w:line="312" w:before="120" w:after="288"/>
        <w:ind w:firstLine="709" w:left="0"/>
        <w:rPr/>
      </w:pPr>
      <w:r>
        <w:rPr/>
        <w:t>Todas as sanções previstas neste Contrato poderão ser aplicadas cumulativamente com a multa (</w:t>
      </w:r>
      <w:hyperlink r:id="rId25" w:tooltip="http://www.planalto.gov.br/ccivil_03/_ato2019-2022/2021/lei/L14133.htm#art156§7&quot; l &quot;art156§7">
        <w:r>
          <w:rPr>
            <w:rStyle w:val="Hyperlink"/>
          </w:rPr>
          <w:t>art. 156, §7º, da Lei nº 14.133, de 2021</w:t>
        </w:r>
      </w:hyperlink>
      <w:r>
        <w:rPr/>
        <w:t>).</w:t>
      </w:r>
    </w:p>
    <w:p>
      <w:pPr>
        <w:pStyle w:val="Nivel3"/>
        <w:numPr>
          <w:ilvl w:val="2"/>
          <w:numId w:val="198"/>
        </w:numPr>
        <w:spacing w:lineRule="auto" w:line="312" w:before="120" w:after="288"/>
        <w:ind w:firstLine="709" w:left="170"/>
        <w:rPr/>
      </w:pPr>
      <w:r>
        <w:rPr/>
        <w:t>Antes da aplicação da multa será facultada a defesa do interessado no prazo de 15 (quinze) dias úteis, contado da data de sua intimação (</w:t>
      </w:r>
      <w:hyperlink r:id="rId26" w:tooltip="http://www.planalto.gov.br/ccivil_03/_ato2019-2022/2021/lei/L14133.htm#art157&quot; l &quot;art157">
        <w:r>
          <w:rPr>
            <w:rStyle w:val="Hyperlink"/>
          </w:rPr>
          <w:t>art. 157, da Lei nº 14.133, de 2021</w:t>
        </w:r>
      </w:hyperlink>
      <w:r>
        <w:rPr/>
        <w:t>)</w:t>
      </w:r>
    </w:p>
    <w:p>
      <w:pPr>
        <w:pStyle w:val="Nivel3"/>
        <w:numPr>
          <w:ilvl w:val="2"/>
          <w:numId w:val="199"/>
        </w:numPr>
        <w:spacing w:lineRule="auto" w:line="312" w:before="120" w:after="288"/>
        <w:ind w:firstLine="709" w:left="170"/>
        <w:rPr/>
      </w:pPr>
      <w:r>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7" w:tooltip="http://www.planalto.gov.br/ccivil_03/_ato2019-2022/2021/lei/L14133.htm#art156§8&quot; l &quot;art156§8">
        <w:r>
          <w:rPr>
            <w:rStyle w:val="Hyperlink"/>
          </w:rPr>
          <w:t>art. 156, §8º, da Lei nº 14.133, de 2021</w:t>
        </w:r>
      </w:hyperlink>
      <w:r>
        <w:rPr/>
        <w:t>).</w:t>
      </w:r>
    </w:p>
    <w:p>
      <w:pPr>
        <w:pStyle w:val="Nivel3"/>
        <w:numPr>
          <w:ilvl w:val="2"/>
          <w:numId w:val="200"/>
        </w:numPr>
        <w:spacing w:lineRule="auto" w:line="312" w:before="120" w:after="288"/>
        <w:ind w:firstLine="709" w:left="170"/>
        <w:rPr/>
      </w:pPr>
      <w:r>
        <w:rPr/>
        <w:t xml:space="preserve">Previamente ao encaminhamento à cobrança judicial, a multa poderá ser recolhida administrativamente no prazo máximo de </w:t>
      </w:r>
      <w:r>
        <w:rPr>
          <w:color w:val="auto"/>
        </w:rPr>
        <w:t>15 (quinze) dias</w:t>
      </w:r>
      <w:r>
        <w:rPr/>
        <w:t>, a contar da data do recebimento da comunicação enviada pela autoridade competente.</w:t>
      </w:r>
      <w:bookmarkStart w:id="4" w:name="_Hlk78351618"/>
      <w:bookmarkEnd w:id="4"/>
    </w:p>
    <w:p>
      <w:pPr>
        <w:pStyle w:val="Nivel2"/>
        <w:numPr>
          <w:ilvl w:val="1"/>
          <w:numId w:val="201"/>
        </w:numPr>
        <w:spacing w:lineRule="auto" w:line="312" w:before="120" w:after="288"/>
        <w:ind w:firstLine="709" w:left="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hyperlink r:id="rId28" w:tooltip="http://www.planalto.gov.br/ccivil_03/_ato2019-2022/2021/lei/L14133.htm#art158&quot; l &quot;art158">
        <w:r>
          <w:rPr>
            <w:rStyle w:val="Hyperlink"/>
          </w:rPr>
          <w:t>art. 158 da Lei nº 14.133, de 2021</w:t>
        </w:r>
      </w:hyperlink>
      <w:r>
        <w:rPr/>
        <w:t>, para as penalidades de impedimento de licitar e contratar e de declaração de inidoneidade para licitar ou contratar.</w:t>
      </w:r>
    </w:p>
    <w:p>
      <w:pPr>
        <w:pStyle w:val="Nivel2"/>
        <w:numPr>
          <w:ilvl w:val="1"/>
          <w:numId w:val="202"/>
        </w:numPr>
        <w:spacing w:lineRule="auto" w:line="312" w:before="120" w:after="288"/>
        <w:ind w:firstLine="709" w:left="0"/>
        <w:rPr/>
      </w:pPr>
      <w:r>
        <w:rPr/>
        <w:t>Na aplicação das sanções serão considerados (</w:t>
      </w:r>
      <w:hyperlink r:id="rId29" w:tooltip="http://www.planalto.gov.br/ccivil_03/_ato2019-2022/2021/lei/L14133.htm#art156§1&quot; l &quot;art156§1">
        <w:r>
          <w:rPr>
            <w:rStyle w:val="Hyperlink"/>
          </w:rPr>
          <w:t>art. 156, §1º, da Lei nº 14.133, de 2021</w:t>
        </w:r>
      </w:hyperlink>
      <w:r>
        <w:rPr/>
        <w:t>):</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03"/>
        </w:numPr>
        <w:spacing w:lineRule="auto" w:line="312" w:before="120" w:after="288"/>
        <w:ind w:firstLine="709" w:left="0"/>
        <w:rPr/>
      </w:pPr>
      <w:r>
        <w:rPr/>
        <w:t xml:space="preserve">Os atos previstos como infrações administrativas na </w:t>
      </w:r>
      <w:hyperlink r:id="rId30" w:tooltip="http://www.planalto.gov.br/ccivil_03/_ato2019-2022/2021/lei/L14133.htm">
        <w:r>
          <w:rPr>
            <w:rStyle w:val="Hyperlink"/>
          </w:rPr>
          <w:t>Lei nº 14.133, de 2021</w:t>
        </w:r>
      </w:hyperlink>
      <w:r>
        <w:rPr/>
        <w:t xml:space="preserve">, ou em outras leis de licitações e contratos da Administração Pública que também sejam tipificados como atos lesivos </w:t>
      </w:r>
      <w:hyperlink r:id="rId31" w:tooltip="https://www.planalto.gov.br/ccivil_03/_ato2011-2014/2013/lei/l12846.htm">
        <w:r>
          <w:rPr>
            <w:rStyle w:val="Hyperlink"/>
          </w:rPr>
          <w:t>na Lei nº 12.846, de 2013</w:t>
        </w:r>
      </w:hyperlink>
      <w:r>
        <w:rPr/>
        <w:t xml:space="preserve">, serão apurados e julgados conjuntamente, nos mesmos autos, observados o rito procedimental e autoridade competente definidos na referida </w:t>
      </w:r>
      <w:hyperlink r:id="rId32" w:tooltip="http://www.planalto.gov.br/ccivil_03/_ato2019-2022/2021/lei/L14133.htm#art159&quot; l &quot;art159">
        <w:r>
          <w:rPr>
            <w:rStyle w:val="Hyperlink"/>
          </w:rPr>
          <w:t>Lei (art. 159</w:t>
        </w:r>
      </w:hyperlink>
      <w:r>
        <w:rPr/>
        <w:t>).</w:t>
      </w:r>
    </w:p>
    <w:p>
      <w:pPr>
        <w:pStyle w:val="Nivel2"/>
        <w:numPr>
          <w:ilvl w:val="1"/>
          <w:numId w:val="204"/>
        </w:numPr>
        <w:spacing w:lineRule="auto" w:line="312" w:before="120" w:after="288"/>
        <w:ind w:firstLine="709" w:left="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3" w:tooltip="http://www.planalto.gov.br/ccivil_03/_ato2019-2022/2021/lei/L14133.htm#art160&quot; l &quot;art160">
        <w:r>
          <w:rPr>
            <w:rStyle w:val="Hyperlink"/>
          </w:rPr>
          <w:t>art. 160, da Lei nº 14.133, de 2021</w:t>
        </w:r>
      </w:hyperlink>
      <w:r>
        <w:rPr/>
        <w:t>)</w:t>
      </w:r>
    </w:p>
    <w:p>
      <w:pPr>
        <w:pStyle w:val="Nivel2"/>
        <w:numPr>
          <w:ilvl w:val="1"/>
          <w:numId w:val="205"/>
        </w:numPr>
        <w:spacing w:lineRule="auto" w:line="312" w:before="120" w:after="288"/>
        <w:ind w:firstLine="709" w:left="0"/>
        <w:rPr>
          <w:i/>
          <w:i/>
          <w:iCs/>
        </w:rPr>
      </w:pPr>
      <w:r>
        <w:rPr/>
        <w:t xml:space="preserve"> </w:t>
      </w:r>
      <w:r>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4" w:tooltip="http://www.planalto.gov.br/ccivil_03/_ato2019-2022/2021/lei/L14133.htm#art161&quot; l &quot;art161">
        <w:r>
          <w:rPr>
            <w:rStyle w:val="Hyperlink"/>
          </w:rPr>
          <w:t>Art. 161, da Lei nº 14.133, de 2021</w:t>
        </w:r>
      </w:hyperlink>
      <w:r>
        <w:rPr/>
        <w:t>)</w:t>
      </w:r>
    </w:p>
    <w:p>
      <w:pPr>
        <w:pStyle w:val="Nivel2"/>
        <w:numPr>
          <w:ilvl w:val="1"/>
          <w:numId w:val="206"/>
        </w:numPr>
        <w:spacing w:lineRule="auto" w:line="312" w:before="120" w:after="288"/>
        <w:ind w:firstLine="709" w:left="0"/>
        <w:rPr>
          <w:i/>
          <w:i/>
          <w:iCs/>
        </w:rPr>
      </w:pPr>
      <w:r>
        <w:rPr/>
        <w:t xml:space="preserve">As sanções de impedimento de licitar e contratar e declaração de inidoneidade para licitar ou contratar são passíveis de reabilitação na forma do </w:t>
      </w:r>
      <w:hyperlink r:id="rId35" w:tooltip="http://www.planalto.gov.br/ccivil_03/_ato2019-2022/2021/lei/L14133.htm#art163&quot; l &quot;art163">
        <w:r>
          <w:rPr>
            <w:rStyle w:val="Hyperlink"/>
          </w:rPr>
          <w:t>art. 163 da Lei nº 14.133/21.</w:t>
        </w:r>
      </w:hyperlink>
    </w:p>
    <w:p>
      <w:pPr>
        <w:pStyle w:val="Nivel2"/>
        <w:numPr>
          <w:ilvl w:val="1"/>
          <w:numId w:val="207"/>
        </w:numPr>
        <w:spacing w:lineRule="auto" w:line="312" w:before="120" w:after="288"/>
        <w:ind w:firstLine="709" w:left="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6" w:tooltip="https://www.gov.br/compras/pt-br/acesso-a-informacao/legislacao/instrucoes-normativas/instrucao-normativa-seges-me-no-26-de-13-de-abril-de-2022">
        <w:r>
          <w:rPr>
            <w:rStyle w:val="Hyperlink"/>
          </w:rPr>
          <w:t>Instrução Normativa SEGES/ME nº 26, de 13 de abril de 2022</w:t>
        </w:r>
      </w:hyperlink>
      <w:r>
        <w:rPr/>
        <w:t xml:space="preserve">. </w:t>
      </w:r>
    </w:p>
    <w:p>
      <w:pPr>
        <w:pStyle w:val="Nivel01"/>
        <w:numPr>
          <w:ilvl w:val="0"/>
          <w:numId w:val="208"/>
        </w:numPr>
        <w:spacing w:lineRule="auto" w:line="312" w:before="120" w:after="288"/>
        <w:ind w:hanging="0" w:left="0"/>
        <w:rPr>
          <w:color w:themeColor="background1" w:val="FFFFFF"/>
        </w:rPr>
      </w:pPr>
      <w:r>
        <w:rPr/>
        <w:t>CLÁUSULA DÉCIMA TERCEIRA – DA EXTINÇÃO CONTRATUAL (</w:t>
      </w:r>
      <w:hyperlink r:id="rId37" w:tooltip="http://www.planalto.gov.br/ccivil_03/_ato2019-2022/2021/lei/L14133.htm#art92&quot; l &quot;art92">
        <w:r>
          <w:rPr>
            <w:rStyle w:val="Hyperlink"/>
          </w:rPr>
          <w:t>art. 92, XIX</w:t>
        </w:r>
      </w:hyperlink>
      <w:r>
        <w:rPr/>
        <w:t>)</w:t>
      </w:r>
    </w:p>
    <w:p>
      <w:pPr>
        <w:pStyle w:val="Nivel2"/>
        <w:numPr>
          <w:ilvl w:val="1"/>
          <w:numId w:val="209"/>
        </w:numPr>
        <w:spacing w:lineRule="auto" w:line="312" w:before="120" w:after="288"/>
        <w:ind w:firstLine="709" w:left="0"/>
        <w:rPr>
          <w:iCs/>
          <w:color w:val="auto"/>
        </w:rPr>
      </w:pPr>
      <w:r>
        <w:rPr>
          <w:iCs/>
          <w:color w:val="auto"/>
        </w:rPr>
        <w:t>O contrato se extingue quando cumpridas as obrigações de ambas as partes, ainda que isso ocorra antes do prazo estipulado para tanto.</w:t>
      </w:r>
    </w:p>
    <w:p>
      <w:pPr>
        <w:pStyle w:val="Nivel2"/>
        <w:numPr>
          <w:ilvl w:val="1"/>
          <w:numId w:val="210"/>
        </w:numPr>
        <w:spacing w:lineRule="auto" w:line="312" w:before="120" w:after="288"/>
        <w:ind w:firstLine="709" w:left="0"/>
        <w:rPr>
          <w:iCs/>
          <w:color w:val="auto"/>
        </w:rPr>
      </w:pPr>
      <w:r>
        <w:rPr>
          <w:iCs/>
          <w:color w:val="auto"/>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211"/>
        </w:numPr>
        <w:spacing w:lineRule="auto" w:line="312" w:before="120" w:after="288"/>
        <w:ind w:firstLine="709" w:left="0"/>
        <w:rPr>
          <w:iCs/>
          <w:color w:val="auto"/>
        </w:rPr>
      </w:pPr>
      <w:r>
        <w:rPr>
          <w:iCs/>
          <w:color w:val="auto"/>
        </w:rPr>
        <w:t>Quando a não conclusão do contrato referida no item anterior decorrer de culpa do contratado:</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 xml:space="preserve">ficará ele constituído em mora, sendo-lhe aplicáveis as respectivas sanções administrativas; e  </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poderá a Administração optar pela extinção do contrato e, nesse caso, adotará as medidas admitidas em lei para a continuidade da execução contratual.</w:t>
      </w:r>
    </w:p>
    <w:p>
      <w:pPr>
        <w:pStyle w:val="Nivel2"/>
        <w:numPr>
          <w:ilvl w:val="1"/>
          <w:numId w:val="212"/>
        </w:numPr>
        <w:spacing w:lineRule="auto" w:line="312" w:before="120" w:after="288"/>
        <w:ind w:firstLine="709" w:left="0"/>
        <w:rPr/>
      </w:pPr>
      <w:r>
        <w:rPr/>
        <w:t xml:space="preserve">O contrato pode ser extinto antes de cumpridas as obrigações nele estipuladas, ou antes do prazo nele fixado, por algum dos motivos previstos no </w:t>
      </w:r>
      <w:hyperlink r:id="rId38" w:tooltip="http://www.planalto.gov.br/ccivil_03/_ato2019-2022/2021/lei/L14133.htm#art137&quot; l &quot;art137">
        <w:r>
          <w:rPr>
            <w:rStyle w:val="Hyperlink"/>
          </w:rPr>
          <w:t>artigo 137 da Lei nº 14.133/21</w:t>
        </w:r>
      </w:hyperlink>
      <w:r>
        <w:rPr/>
        <w:t xml:space="preserve">, bem como amigavelmente, </w:t>
      </w:r>
      <w:r>
        <w:rPr>
          <w:color w:themeColor="text1" w:val="000000"/>
        </w:rPr>
        <w:t>assegurados o contraditório e a ampla defesa</w:t>
      </w:r>
      <w:r>
        <w:rPr/>
        <w:t>.</w:t>
      </w:r>
    </w:p>
    <w:p>
      <w:pPr>
        <w:pStyle w:val="Nivel3"/>
        <w:numPr>
          <w:ilvl w:val="2"/>
          <w:numId w:val="213"/>
        </w:numPr>
        <w:spacing w:lineRule="auto" w:line="312" w:before="120" w:after="288"/>
        <w:ind w:firstLine="709" w:left="170"/>
        <w:rPr/>
      </w:pPr>
      <w:r>
        <w:rPr/>
        <w:t xml:space="preserve">Nesta hipótese, aplicam-se também os </w:t>
      </w:r>
      <w:hyperlink r:id="rId39" w:tooltip="http://www.planalto.gov.br/ccivil_03/_ato2019-2022/2021/lei/L14133.htm#art138&quot; l &quot;art138">
        <w:r>
          <w:rPr>
            <w:rStyle w:val="Hyperlink"/>
          </w:rPr>
          <w:t>artigos 138 e 139</w:t>
        </w:r>
      </w:hyperlink>
      <w:r>
        <w:rPr/>
        <w:t xml:space="preserve"> da mesma Lei.</w:t>
      </w:r>
    </w:p>
    <w:p>
      <w:pPr>
        <w:pStyle w:val="Nivel3"/>
        <w:numPr>
          <w:ilvl w:val="2"/>
          <w:numId w:val="214"/>
        </w:numPr>
        <w:spacing w:lineRule="auto" w:line="312" w:before="120" w:after="288"/>
        <w:ind w:firstLine="709" w:left="170"/>
        <w:rPr/>
      </w:pPr>
      <w:r>
        <w:rPr/>
        <w:t xml:space="preserve">A </w:t>
      </w:r>
      <w:r>
        <w:rPr>
          <w:color w:themeColor="text1" w:val="000000"/>
        </w:rPr>
        <w:t>alteração social ou a modificação da finalidade ou da estrutura da empresa</w:t>
      </w:r>
      <w:r>
        <w:rPr/>
        <w:t xml:space="preserve"> não ensejará a rescisão se não </w:t>
      </w:r>
      <w:r>
        <w:rPr>
          <w:color w:themeColor="text1" w:val="000000"/>
        </w:rPr>
        <w:t>restringir sua capacidade de concluir o contrato.</w:t>
      </w:r>
    </w:p>
    <w:p>
      <w:pPr>
        <w:pStyle w:val="Nivel4"/>
        <w:numPr>
          <w:ilvl w:val="3"/>
          <w:numId w:val="215"/>
        </w:numPr>
        <w:spacing w:lineRule="auto" w:line="312" w:before="120" w:after="288"/>
        <w:ind w:firstLine="709" w:left="284"/>
        <w:rPr/>
      </w:pPr>
      <w:r>
        <w:rPr>
          <w:color w:themeColor="text1" w:val="000000"/>
        </w:rPr>
        <w:t xml:space="preserve">Se a operação </w:t>
      </w:r>
      <w:r>
        <w:rPr/>
        <w:t>implicar mudança da pessoa jurídica contratada, deverá ser formalizado termo aditivo para alteração subjetiva.</w:t>
      </w:r>
    </w:p>
    <w:p>
      <w:pPr>
        <w:pStyle w:val="Nivel2"/>
        <w:numPr>
          <w:ilvl w:val="1"/>
          <w:numId w:val="216"/>
        </w:numPr>
        <w:spacing w:lineRule="auto" w:line="312" w:before="120" w:after="288"/>
        <w:ind w:firstLine="709" w:left="0"/>
        <w:rPr/>
      </w:pPr>
      <w:r>
        <w:rPr/>
        <w:t>O termo de rescisão, sempre que possível, será precedido:</w:t>
      </w:r>
    </w:p>
    <w:p>
      <w:pPr>
        <w:pStyle w:val="Nivel3"/>
        <w:numPr>
          <w:ilvl w:val="2"/>
          <w:numId w:val="217"/>
        </w:numPr>
        <w:spacing w:lineRule="auto" w:line="312" w:before="120" w:after="288"/>
        <w:ind w:firstLine="709" w:left="170"/>
        <w:rPr/>
      </w:pPr>
      <w:r>
        <w:rPr/>
        <w:t>Balanço dos eventos contratuais já cumpridos ou parcialmente cumpridos;</w:t>
      </w:r>
    </w:p>
    <w:p>
      <w:pPr>
        <w:pStyle w:val="Nivel3"/>
        <w:numPr>
          <w:ilvl w:val="2"/>
          <w:numId w:val="218"/>
        </w:numPr>
        <w:spacing w:lineRule="auto" w:line="312" w:before="120" w:after="288"/>
        <w:ind w:firstLine="709" w:left="170"/>
        <w:rPr/>
      </w:pPr>
      <w:r>
        <w:rPr/>
        <w:t>Relação dos pagamentos já efetuados e ainda devidos;</w:t>
      </w:r>
    </w:p>
    <w:p>
      <w:pPr>
        <w:pStyle w:val="Nivel3"/>
        <w:numPr>
          <w:ilvl w:val="2"/>
          <w:numId w:val="219"/>
        </w:numPr>
        <w:spacing w:lineRule="auto" w:line="312" w:before="120" w:after="288"/>
        <w:ind w:firstLine="709" w:left="170"/>
        <w:rPr/>
      </w:pPr>
      <w:r>
        <w:rPr/>
        <w:t>Indenizações e multas.</w:t>
      </w:r>
    </w:p>
    <w:p>
      <w:pPr>
        <w:pStyle w:val="Nivel2"/>
        <w:numPr>
          <w:ilvl w:val="1"/>
          <w:numId w:val="220"/>
        </w:numPr>
        <w:spacing w:lineRule="auto" w:line="312" w:before="120" w:after="288"/>
        <w:ind w:firstLine="709" w:left="0"/>
        <w:rPr/>
      </w:pPr>
      <w:r>
        <w:rPr/>
        <w:t>A extinção do contrato não configura óbice para o reconhecimento do desequilíbrio econômico-financeiro, hipótese em que será concedida indenização por meio de termo indenizatório (</w:t>
      </w:r>
      <w:hyperlink r:id="rId40" w:tooltip="http://www.planalto.gov.br/ccivil_03/_ato2019-2022/2021/lei/L14133.htm#art131&quot; l &quot;art131">
        <w:r>
          <w:rPr>
            <w:rStyle w:val="Hyperlink"/>
          </w:rPr>
          <w:t xml:space="preserve">art. 131, </w:t>
        </w:r>
        <w:r>
          <w:rPr>
            <w:rStyle w:val="Hyperlink"/>
            <w:i/>
            <w:iCs/>
          </w:rPr>
          <w:t xml:space="preserve">caput, </w:t>
        </w:r>
        <w:r>
          <w:rPr>
            <w:rStyle w:val="Hyperlink"/>
          </w:rPr>
          <w:t>da Lei n.º 14.133, de 2021).</w:t>
        </w:r>
      </w:hyperlink>
      <w:r>
        <w:rPr/>
        <w:t xml:space="preserve"> </w:t>
      </w:r>
    </w:p>
    <w:p>
      <w:pPr>
        <w:pStyle w:val="Nivel01"/>
        <w:numPr>
          <w:ilvl w:val="0"/>
          <w:numId w:val="221"/>
        </w:numPr>
        <w:spacing w:lineRule="auto" w:line="312" w:before="120" w:after="288"/>
        <w:ind w:hanging="0" w:left="0"/>
        <w:rPr>
          <w:color w:themeColor="background1" w:val="FFFFFF"/>
        </w:rPr>
      </w:pPr>
      <w:r>
        <w:rPr/>
        <w:t>CLÁUSULA DÉCIMA QUARTA – DOTAÇÃO ORÇAMENTÁRIA (</w:t>
      </w:r>
      <w:hyperlink r:id="rId41" w:tooltip="http://www.planalto.gov.br/ccivil_03/_ato2019-2022/2021/lei/L14133.htm#art92&quot; l &quot;art92">
        <w:r>
          <w:rPr>
            <w:rStyle w:val="Hyperlink"/>
          </w:rPr>
          <w:t>art. 92, VIII</w:t>
        </w:r>
      </w:hyperlink>
      <w:r>
        <w:rPr/>
        <w:t>)</w:t>
      </w:r>
    </w:p>
    <w:p>
      <w:pPr>
        <w:pStyle w:val="Nivel2"/>
        <w:numPr>
          <w:ilvl w:val="1"/>
          <w:numId w:val="222"/>
        </w:numPr>
        <w:spacing w:lineRule="auto" w:line="312" w:before="120" w:after="288"/>
        <w:ind w:firstLine="709" w:left="0"/>
        <w:rPr/>
      </w:pPr>
      <w:r>
        <w:rPr/>
        <w:t>As despesas decorrentes da presente contratação correrão à conta de recursos específicos consignados no Orçamento Geral da União deste exercício, na dotação abaixo discriminada:</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Nota de Empenho:</w:t>
      </w:r>
    </w:p>
    <w:p>
      <w:pPr>
        <w:pStyle w:val="Nivel01"/>
        <w:numPr>
          <w:ilvl w:val="0"/>
          <w:numId w:val="223"/>
        </w:numPr>
        <w:spacing w:lineRule="auto" w:line="312" w:before="120" w:after="288"/>
        <w:ind w:hanging="0" w:left="0"/>
        <w:rPr>
          <w:color w:themeColor="background1" w:val="FFFFFF"/>
        </w:rPr>
      </w:pPr>
      <w:r>
        <w:rPr/>
        <w:t>CLÁUSULA DÉCIMA QUINTA – DOS CASOS OMISSOS (</w:t>
      </w:r>
      <w:hyperlink r:id="rId42" w:tooltip="http://www.planalto.gov.br/ccivil_03/_ato2019-2022/2021/lei/L14133.htm#art92&quot; l &quot;art92">
        <w:r>
          <w:rPr>
            <w:rStyle w:val="Hyperlink"/>
          </w:rPr>
          <w:t>art. 92, III</w:t>
        </w:r>
      </w:hyperlink>
      <w:r>
        <w:rPr/>
        <w:t>)</w:t>
      </w:r>
    </w:p>
    <w:p>
      <w:pPr>
        <w:pStyle w:val="Nivel2"/>
        <w:numPr>
          <w:ilvl w:val="1"/>
          <w:numId w:val="224"/>
        </w:numPr>
        <w:spacing w:lineRule="auto" w:line="312" w:before="120" w:after="288"/>
        <w:ind w:firstLine="709" w:left="0"/>
        <w:rPr/>
      </w:pPr>
      <w:r>
        <w:rPr/>
        <w:t xml:space="preserve">Os casos omissos serão decididos pelo contratante, segundo as disposições contidas na </w:t>
      </w:r>
      <w:hyperlink r:id="rId43" w:tooltip="http://www.planalto.gov.br/ccivil_03/_ato2019-2022/2021/lei/L14133.htm">
        <w:r>
          <w:rPr>
            <w:rStyle w:val="Hyperlink"/>
          </w:rPr>
          <w:t>Lei nº 14.133, de 2021</w:t>
        </w:r>
      </w:hyperlink>
      <w:r>
        <w:rPr/>
        <w:t xml:space="preserve">, e demais normas federais aplicáveis e, subsidiariamente, segundo as disposições contidas na </w:t>
      </w:r>
      <w:hyperlink r:id="rId44" w:tooltip="https://www.planalto.gov.br/ccivil_03/leis/l8078compilado.htm">
        <w:r>
          <w:rPr>
            <w:rStyle w:val="Hyperlink"/>
          </w:rPr>
          <w:t>Lei nº 8.078, de 1990 – Código de Defesa do Consumidor</w:t>
        </w:r>
      </w:hyperlink>
      <w:r>
        <w:rPr/>
        <w:t xml:space="preserve"> – e normas e princípios gerais dos contratos.</w:t>
      </w:r>
    </w:p>
    <w:p>
      <w:pPr>
        <w:pStyle w:val="Nivel01"/>
        <w:numPr>
          <w:ilvl w:val="0"/>
          <w:numId w:val="225"/>
        </w:numPr>
        <w:spacing w:lineRule="auto" w:line="312" w:before="120" w:after="288"/>
        <w:ind w:hanging="0" w:left="0"/>
        <w:rPr>
          <w:color w:themeColor="background1" w:val="FFFFFF"/>
        </w:rPr>
      </w:pPr>
      <w:r>
        <w:rPr/>
        <w:t>CLÁUSULA DÉCIMA SEXTA – ALTERAÇÕES</w:t>
      </w:r>
    </w:p>
    <w:p>
      <w:pPr>
        <w:pStyle w:val="Nivel2"/>
        <w:numPr>
          <w:ilvl w:val="1"/>
          <w:numId w:val="226"/>
        </w:numPr>
        <w:spacing w:lineRule="auto" w:line="312" w:before="120" w:after="288"/>
        <w:ind w:firstLine="709" w:left="0"/>
        <w:rPr/>
      </w:pPr>
      <w:r>
        <w:rPr/>
        <w:t xml:space="preserve">Eventuais alterações contratuais reger-se-ão pela disciplina dos </w:t>
      </w:r>
      <w:hyperlink r:id="rId45" w:tooltip="http://www.planalto.gov.br/ccivil_03/_ato2019-2022/2021/lei/L14133.htm#art124&quot; l &quot;art124">
        <w:r>
          <w:rPr>
            <w:rStyle w:val="Hyperlink"/>
          </w:rPr>
          <w:t>arts. 124 e seguintes da Lei nº 14.133, de 2021</w:t>
        </w:r>
      </w:hyperlink>
      <w:r>
        <w:rPr/>
        <w:t>.</w:t>
      </w:r>
    </w:p>
    <w:p>
      <w:pPr>
        <w:pStyle w:val="Nivel2"/>
        <w:numPr>
          <w:ilvl w:val="1"/>
          <w:numId w:val="227"/>
        </w:numPr>
        <w:spacing w:lineRule="auto" w:line="312" w:before="120" w:after="288"/>
        <w:ind w:firstLine="709"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28"/>
        </w:numPr>
        <w:spacing w:lineRule="auto" w:line="312" w:before="120" w:after="288"/>
        <w:ind w:firstLine="709" w:left="0"/>
        <w:rPr/>
      </w:pPr>
      <w:r>
        <w:rPr/>
        <w:t xml:space="preserve">Registros que não caracterizam alteração do contrato podem ser realizados por simples apostila, dispensada a celebração de termo aditivo, na forma do </w:t>
      </w:r>
      <w:hyperlink r:id="rId46" w:tooltip="http://www.planalto.gov.br/ccivil_03/_ato2019-2022/2021/lei/L14133.htm#art136&quot; l &quot;art136">
        <w:r>
          <w:rPr>
            <w:rStyle w:val="Hyperlink"/>
          </w:rPr>
          <w:t>art. 136 da Lei nº 14.133, de 2021</w:t>
        </w:r>
      </w:hyperlink>
      <w:r>
        <w:rPr/>
        <w:t>.</w:t>
      </w:r>
    </w:p>
    <w:p>
      <w:pPr>
        <w:pStyle w:val="Nivel01"/>
        <w:numPr>
          <w:ilvl w:val="0"/>
          <w:numId w:val="229"/>
        </w:numPr>
        <w:spacing w:lineRule="auto" w:line="312" w:before="120" w:after="288"/>
        <w:ind w:hanging="0" w:left="0"/>
        <w:rPr>
          <w:color w:themeColor="background1" w:val="FFFFFF"/>
        </w:rPr>
      </w:pPr>
      <w:r>
        <w:rPr/>
        <w:t>CLÁUSULA DÉCIMA SÉTIMA – PUBLICAÇÃO</w:t>
      </w:r>
    </w:p>
    <w:p>
      <w:pPr>
        <w:pStyle w:val="Nivel2"/>
        <w:numPr>
          <w:ilvl w:val="1"/>
          <w:numId w:val="230"/>
        </w:numPr>
        <w:spacing w:lineRule="auto" w:line="312" w:before="120" w:after="288"/>
        <w:ind w:firstLine="709" w:left="0"/>
        <w:rPr/>
      </w:pPr>
      <w:r>
        <w:rPr/>
        <w:t xml:space="preserve">Incumbirá ao contratante divulgar o presente instrumento no Portal Nacional de Contratações Públicas (PNCP), na forma prevista no </w:t>
      </w:r>
      <w:hyperlink r:id="rId47" w:tooltip="http://www.planalto.gov.br/ccivil_03/_ato2019-2022/2021/lei/L14133.htm#art94&quot; l &quot;art94">
        <w:r>
          <w:rPr>
            <w:rStyle w:val="Hyperlink"/>
          </w:rPr>
          <w:t>art. 94 da Lei 14.133, de 2021</w:t>
        </w:r>
      </w:hyperlink>
      <w:r>
        <w:rPr/>
        <w:t xml:space="preserve">, bem como no respectivo sítio oficial na Internet, em atenção ao </w:t>
      </w:r>
      <w:hyperlink r:id="rId48" w:tooltip="https://www.planalto.gov.br/ccivil_03/_ato2011-2014/2011/lei/l12527.htm#art8§2&quot; l &quot;art8§2">
        <w:r>
          <w:rPr>
            <w:rStyle w:val="Hyperlink"/>
          </w:rPr>
          <w:t>art. 8º, §2º, da Lei n. 12.527, de 2011</w:t>
        </w:r>
      </w:hyperlink>
      <w:r>
        <w:rPr/>
        <w:t xml:space="preserve">, c/c </w:t>
      </w:r>
      <w:hyperlink r:id="rId49" w:tooltip="https://www.planalto.gov.br/ccivil_03/_ato2011-2014/2012/decreto/d7724.htm#art7§3&quot; l &quot;art7§3">
        <w:r>
          <w:rPr>
            <w:rStyle w:val="Hyperlink"/>
          </w:rPr>
          <w:t>art. 7º, §3º, inciso V, do Decreto n. 7.724, de 2012.</w:t>
        </w:r>
      </w:hyperlink>
      <w:r>
        <w:rPr/>
        <w:t xml:space="preserve"> </w:t>
      </w:r>
    </w:p>
    <w:p>
      <w:pPr>
        <w:pStyle w:val="Nivel01"/>
        <w:numPr>
          <w:ilvl w:val="0"/>
          <w:numId w:val="231"/>
        </w:numPr>
        <w:spacing w:lineRule="auto" w:line="312" w:before="120" w:after="288"/>
        <w:ind w:hanging="0" w:left="0"/>
        <w:rPr>
          <w:color w:themeColor="background1" w:val="FFFFFF"/>
        </w:rPr>
      </w:pPr>
      <w:r>
        <w:rPr/>
        <w:t>CLÁUSULA DÉCIMA OITAVA– FORO (</w:t>
      </w:r>
      <w:hyperlink r:id="rId50" w:tooltip="http://www.planalto.gov.br/ccivil_03/_ato2019-2022/2021/lei/L14133.htm#art92§1&quot; l &quot;art92§1">
        <w:r>
          <w:rPr>
            <w:rStyle w:val="Hyperlink"/>
          </w:rPr>
          <w:t>art. 92, §1º</w:t>
        </w:r>
      </w:hyperlink>
      <w:r>
        <w:rPr/>
        <w:t>)</w:t>
      </w:r>
    </w:p>
    <w:p>
      <w:pPr>
        <w:pStyle w:val="Nivel2"/>
        <w:numPr>
          <w:ilvl w:val="1"/>
          <w:numId w:val="232"/>
        </w:numPr>
        <w:spacing w:lineRule="auto" w:line="312" w:before="120" w:after="288"/>
        <w:ind w:firstLine="709" w:left="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hyperlink r:id="rId51" w:tooltip="http://www.planalto.gov.br/ccivil_03/_ato2019-2022/2021/lei/L14133.htm#art92§1&quot; l &quot;art92§1">
        <w:r>
          <w:rPr>
            <w:rStyle w:val="Hyperlink"/>
          </w:rPr>
          <w:t>art. 92, §1º, da Lei nº 14.133/21.</w:t>
        </w:r>
      </w:hyperlink>
    </w:p>
    <w:p>
      <w:pPr>
        <w:pStyle w:val="Nivel2"/>
        <w:numPr>
          <w:ilvl w:val="0"/>
          <w:numId w:val="0"/>
        </w:numPr>
        <w:spacing w:lineRule="auto" w:line="312" w:before="120" w:after="288"/>
        <w:ind w:firstLine="709" w:left="0"/>
        <w:rPr>
          <w:i/>
          <w:i/>
          <w:iCs/>
          <w:color w:val="auto"/>
        </w:rPr>
      </w:pPr>
      <w:r>
        <w:rPr>
          <w:i/>
          <w:iCs/>
          <w:color w:val="auto"/>
        </w:rPr>
        <w:t>[Local], [dia] de [mês] de [ano].</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sz w:val="20"/>
          <w:szCs w:val="20"/>
        </w:rPr>
      </w:pPr>
      <w:r>
        <w:rPr>
          <w:rFonts w:cs="Arial" w:ascii="Arial" w:hAnsi="Arial"/>
          <w:i/>
          <w:iCs/>
          <w:sz w:val="20"/>
          <w:szCs w:val="20"/>
        </w:rPr>
        <w:t>TESTEMUNHAS:</w:t>
      </w:r>
    </w:p>
    <w:sectPr>
      <w:headerReference w:type="even" r:id="rId52"/>
      <w:headerReference w:type="default" r:id="rId53"/>
      <w:headerReference w:type="first" r:id="rId54"/>
      <w:footerReference w:type="even" r:id="rId55"/>
      <w:footerReference w:type="default" r:id="rId56"/>
      <w:footerReference w:type="first" r:id="rId57"/>
      <w:type w:val="nextPage"/>
      <w:pgSz w:orient="landscape" w:w="11906" w:h="16838"/>
      <w:pgMar w:left="1134" w:right="1134" w:gutter="0" w:header="709" w:top="993" w:footer="709" w:bottom="141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auto"/>
    <w:pitch w:val="variable"/>
  </w:font>
  <w:font w:name="Calibri">
    <w:charset w:val="00"/>
    <w:family w:val="auto"/>
    <w:pitch w:val="variable"/>
  </w:font>
  <w:font w:name="Tahoma">
    <w:charset w:val="00"/>
    <w:family w:val="auto"/>
    <w:pitch w:val="variable"/>
  </w:font>
  <w:font w:name="Liberation Sans">
    <w:altName w:val="Arial"/>
    <w:charset w:val="00"/>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
    <w:lvl w:ilvl="0">
      <w:start w:val="1"/>
      <w:isLgl/>
      <w:numFmt w:val="bullet"/>
      <w:lvlText w:val=""/>
      <w:lvlJc w:val="left"/>
      <w:pPr>
        <w:tabs>
          <w:tab w:val="num" w:pos="1492"/>
        </w:tabs>
        <w:ind w:left="1492" w:hanging="360"/>
      </w:pPr>
      <w:rPr>
        <w:rFonts w:ascii="Symbol" w:hAnsi="Symbol" w:cs="Symbol" w:hint="default"/>
      </w:rPr>
    </w:lvl>
    <w:lvl w:ilvl="1">
      <w:start w:val="0"/>
      <w:isLgl/>
      <w:numFmt w:val="bullet"/>
      <w:lvlText w:val=""/>
      <w:lvlJc w:val="left"/>
      <w:pPr>
        <w:tabs>
          <w:tab w:val="num" w:pos="0"/>
        </w:tabs>
        <w:ind w:left="0" w:hanging="0"/>
      </w:pPr>
      <w:rPr>
        <w:rFonts w:ascii="OpenSymbol" w:hAnsi="OpenSymbol" w:cs="OpenSymbol" w:hint="default"/>
      </w:rPr>
    </w:lvl>
    <w:lvl w:ilvl="2">
      <w:start w:val="0"/>
      <w:isLgl/>
      <w:numFmt w:val="bullet"/>
      <w:lvlText w:val=""/>
      <w:lvlJc w:val="left"/>
      <w:pPr>
        <w:tabs>
          <w:tab w:val="num" w:pos="0"/>
        </w:tabs>
        <w:ind w:left="0" w:hanging="0"/>
      </w:pPr>
      <w:rPr>
        <w:rFonts w:ascii="OpenSymbol" w:hAnsi="OpenSymbol" w:cs="OpenSymbol" w:hint="default"/>
      </w:rPr>
    </w:lvl>
    <w:lvl w:ilvl="3">
      <w:start w:val="0"/>
      <w:isLgl/>
      <w:numFmt w:val="bullet"/>
      <w:lvlText w:val=""/>
      <w:lvlJc w:val="left"/>
      <w:pPr>
        <w:tabs>
          <w:tab w:val="num" w:pos="0"/>
        </w:tabs>
        <w:ind w:left="0" w:hanging="0"/>
      </w:pPr>
      <w:rPr>
        <w:rFonts w:ascii="OpenSymbol" w:hAnsi="OpenSymbol" w:cs="OpenSymbol" w:hint="default"/>
      </w:rPr>
    </w:lvl>
    <w:lvl w:ilvl="4">
      <w:start w:val="0"/>
      <w:isLgl/>
      <w:numFmt w:val="bullet"/>
      <w:lvlText w:val=""/>
      <w:lvlJc w:val="left"/>
      <w:pPr>
        <w:tabs>
          <w:tab w:val="num" w:pos="0"/>
        </w:tabs>
        <w:ind w:left="0" w:hanging="0"/>
      </w:pPr>
      <w:rPr>
        <w:rFonts w:ascii="OpenSymbol" w:hAnsi="OpenSymbol" w:cs="OpenSymbol" w:hint="default"/>
      </w:rPr>
    </w:lvl>
    <w:lvl w:ilvl="5">
      <w:start w:val="0"/>
      <w:isLgl/>
      <w:numFmt w:val="bullet"/>
      <w:lvlText w:val=""/>
      <w:lvlJc w:val="left"/>
      <w:pPr>
        <w:tabs>
          <w:tab w:val="num" w:pos="0"/>
        </w:tabs>
        <w:ind w:left="0" w:hanging="0"/>
      </w:pPr>
      <w:rPr>
        <w:rFonts w:ascii="OpenSymbol" w:hAnsi="OpenSymbol" w:cs="OpenSymbol" w:hint="default"/>
      </w:rPr>
    </w:lvl>
    <w:lvl w:ilvl="6">
      <w:start w:val="0"/>
      <w:isLgl/>
      <w:numFmt w:val="bullet"/>
      <w:lvlText w:val=""/>
      <w:lvlJc w:val="left"/>
      <w:pPr>
        <w:tabs>
          <w:tab w:val="num" w:pos="0"/>
        </w:tabs>
        <w:ind w:left="0" w:hanging="0"/>
      </w:pPr>
      <w:rPr>
        <w:rFonts w:ascii="OpenSymbol" w:hAnsi="OpenSymbol" w:cs="OpenSymbol" w:hint="default"/>
      </w:rPr>
    </w:lvl>
    <w:lvl w:ilvl="7">
      <w:start w:val="0"/>
      <w:isLgl/>
      <w:numFmt w:val="bullet"/>
      <w:lvlText w:val=""/>
      <w:lvlJc w:val="left"/>
      <w:pPr>
        <w:tabs>
          <w:tab w:val="num" w:pos="0"/>
        </w:tabs>
        <w:ind w:left="0" w:hanging="0"/>
      </w:pPr>
      <w:rPr>
        <w:rFonts w:ascii="OpenSymbol" w:hAnsi="OpenSymbol" w:cs="OpenSymbol" w:hint="default"/>
      </w:rPr>
    </w:lvl>
    <w:lvl w:ilvl="8">
      <w:start w:val="0"/>
      <w:isLgl/>
      <w:numFmt w:val="bullet"/>
      <w:lvlText w:val=""/>
      <w:lvlJc w:val="left"/>
      <w:pPr>
        <w:tabs>
          <w:tab w:val="num" w:pos="0"/>
        </w:tabs>
        <w:ind w:left="0" w:hanging="0"/>
      </w:pPr>
      <w:rPr>
        <w:rFonts w:ascii="OpenSymbol" w:hAnsi="OpenSymbol" w:cs="OpenSymbol" w:hint="default"/>
      </w:rPr>
    </w:lvl>
  </w:abstractNum>
  <w:abstractNum w:abstractNumId="3">
    <w:lvl w:ilvl="0">
      <w:start w:val="1"/>
      <w:isLgl/>
      <w:numFmt w:val="lowerLetter"/>
      <w:lvlText w:val="%1)"/>
      <w:lvlJc w:val="left"/>
      <w:pPr>
        <w:tabs>
          <w:tab w:val="num" w:pos="0"/>
        </w:tabs>
        <w:ind w:left="1436" w:hanging="360"/>
      </w:pPr>
      <w:rPr/>
    </w:lvl>
    <w:lvl w:ilvl="1">
      <w:start w:val="1"/>
      <w:isLgl/>
      <w:numFmt w:val="lowerLetter"/>
      <w:lvlText w:val="%2."/>
      <w:lvlJc w:val="left"/>
      <w:pPr>
        <w:tabs>
          <w:tab w:val="num" w:pos="0"/>
        </w:tabs>
        <w:ind w:left="2156" w:hanging="360"/>
      </w:pPr>
      <w:rPr/>
    </w:lvl>
    <w:lvl w:ilvl="2">
      <w:start w:val="1"/>
      <w:isLgl/>
      <w:numFmt w:val="lowerRoman"/>
      <w:lvlText w:val="%3."/>
      <w:lvlJc w:val="right"/>
      <w:pPr>
        <w:tabs>
          <w:tab w:val="num" w:pos="0"/>
        </w:tabs>
        <w:ind w:left="2876" w:hanging="180"/>
      </w:pPr>
      <w:rPr/>
    </w:lvl>
    <w:lvl w:ilvl="3">
      <w:start w:val="1"/>
      <w:isLgl/>
      <w:numFmt w:val="decimal"/>
      <w:lvlText w:val="%4."/>
      <w:lvlJc w:val="left"/>
      <w:pPr>
        <w:tabs>
          <w:tab w:val="num" w:pos="0"/>
        </w:tabs>
        <w:ind w:left="3596" w:hanging="360"/>
      </w:pPr>
      <w:rPr/>
    </w:lvl>
    <w:lvl w:ilvl="4">
      <w:start w:val="1"/>
      <w:isLgl/>
      <w:numFmt w:val="lowerLetter"/>
      <w:lvlText w:val="%5."/>
      <w:lvlJc w:val="left"/>
      <w:pPr>
        <w:tabs>
          <w:tab w:val="num" w:pos="0"/>
        </w:tabs>
        <w:ind w:left="4316" w:hanging="360"/>
      </w:pPr>
      <w:rPr/>
    </w:lvl>
    <w:lvl w:ilvl="5">
      <w:start w:val="1"/>
      <w:isLgl/>
      <w:numFmt w:val="lowerRoman"/>
      <w:lvlText w:val="%6."/>
      <w:lvlJc w:val="right"/>
      <w:pPr>
        <w:tabs>
          <w:tab w:val="num" w:pos="0"/>
        </w:tabs>
        <w:ind w:left="5036" w:hanging="180"/>
      </w:pPr>
      <w:rPr/>
    </w:lvl>
    <w:lvl w:ilvl="6">
      <w:start w:val="1"/>
      <w:isLgl/>
      <w:numFmt w:val="decimal"/>
      <w:lvlText w:val="%7."/>
      <w:lvlJc w:val="left"/>
      <w:pPr>
        <w:tabs>
          <w:tab w:val="num" w:pos="0"/>
        </w:tabs>
        <w:ind w:left="5756" w:hanging="360"/>
      </w:pPr>
      <w:rPr/>
    </w:lvl>
    <w:lvl w:ilvl="7">
      <w:start w:val="1"/>
      <w:isLgl/>
      <w:numFmt w:val="lowerLetter"/>
      <w:lvlText w:val="%8."/>
      <w:lvlJc w:val="left"/>
      <w:pPr>
        <w:tabs>
          <w:tab w:val="num" w:pos="0"/>
        </w:tabs>
        <w:ind w:left="6476" w:hanging="360"/>
      </w:pPr>
      <w:rPr/>
    </w:lvl>
    <w:lvl w:ilvl="8">
      <w:start w:val="1"/>
      <w:isLgl/>
      <w:numFmt w:val="lowerRoman"/>
      <w:lvlText w:val="%9."/>
      <w:lvlJc w:val="right"/>
      <w:pPr>
        <w:tabs>
          <w:tab w:val="num" w:pos="0"/>
        </w:tabs>
        <w:ind w:left="7196" w:hanging="180"/>
      </w:pPr>
      <w:rPr/>
    </w:lvl>
  </w:abstractNum>
  <w:abstractNum w:abstractNumId="4">
    <w:lvl w:ilvl="0">
      <w:start w:val="1"/>
      <w:isLgl/>
      <w:numFmt w:val="lowerLetter"/>
      <w:lvlText w:val="%1)"/>
      <w:lvlJc w:val="left"/>
      <w:pPr>
        <w:tabs>
          <w:tab w:val="num" w:pos="0"/>
        </w:tabs>
        <w:ind w:left="720" w:hanging="360"/>
      </w:pPr>
      <w:rPr/>
    </w:lvl>
    <w:lvl w:ilvl="1">
      <w:start w:val="1"/>
      <w:isLgl/>
      <w:numFmt w:val="lowerLetter"/>
      <w:lvlText w:val="%2."/>
      <w:lvlJc w:val="left"/>
      <w:pPr>
        <w:tabs>
          <w:tab w:val="num" w:pos="0"/>
        </w:tabs>
        <w:ind w:left="1440" w:hanging="360"/>
      </w:pPr>
      <w:rPr/>
    </w:lvl>
    <w:lvl w:ilvl="2">
      <w:start w:val="1"/>
      <w:isLgl/>
      <w:numFmt w:val="lowerRoman"/>
      <w:lvlText w:val="%3."/>
      <w:lvlJc w:val="right"/>
      <w:pPr>
        <w:tabs>
          <w:tab w:val="num" w:pos="0"/>
        </w:tabs>
        <w:ind w:left="2160" w:hanging="180"/>
      </w:pPr>
      <w:rPr/>
    </w:lvl>
    <w:lvl w:ilvl="3">
      <w:start w:val="1"/>
      <w:isLgl/>
      <w:numFmt w:val="decimal"/>
      <w:lvlText w:val="%4."/>
      <w:lvlJc w:val="left"/>
      <w:pPr>
        <w:tabs>
          <w:tab w:val="num" w:pos="0"/>
        </w:tabs>
        <w:ind w:left="2880" w:hanging="360"/>
      </w:pPr>
      <w:rPr/>
    </w:lvl>
    <w:lvl w:ilvl="4">
      <w:start w:val="1"/>
      <w:isLgl/>
      <w:numFmt w:val="lowerLetter"/>
      <w:lvlText w:val="%5."/>
      <w:lvlJc w:val="left"/>
      <w:pPr>
        <w:tabs>
          <w:tab w:val="num" w:pos="0"/>
        </w:tabs>
        <w:ind w:left="3600" w:hanging="360"/>
      </w:pPr>
      <w:rPr/>
    </w:lvl>
    <w:lvl w:ilvl="5">
      <w:start w:val="1"/>
      <w:isLgl/>
      <w:numFmt w:val="lowerRoman"/>
      <w:lvlText w:val="%6."/>
      <w:lvlJc w:val="right"/>
      <w:pPr>
        <w:tabs>
          <w:tab w:val="num" w:pos="0"/>
        </w:tabs>
        <w:ind w:left="4320" w:hanging="180"/>
      </w:pPr>
      <w:rPr/>
    </w:lvl>
    <w:lvl w:ilvl="6">
      <w:start w:val="1"/>
      <w:isLgl/>
      <w:numFmt w:val="decimal"/>
      <w:lvlText w:val="%7."/>
      <w:lvlJc w:val="left"/>
      <w:pPr>
        <w:tabs>
          <w:tab w:val="num" w:pos="0"/>
        </w:tabs>
        <w:ind w:left="5040" w:hanging="360"/>
      </w:pPr>
      <w:rPr/>
    </w:lvl>
    <w:lvl w:ilvl="7">
      <w:start w:val="1"/>
      <w:isLgl/>
      <w:numFmt w:val="lowerLetter"/>
      <w:lvlText w:val="%8."/>
      <w:lvlJc w:val="left"/>
      <w:pPr>
        <w:tabs>
          <w:tab w:val="num" w:pos="0"/>
        </w:tabs>
        <w:ind w:left="5760" w:hanging="360"/>
      </w:pPr>
      <w:rPr/>
    </w:lvl>
    <w:lvl w:ilvl="8">
      <w:start w:val="1"/>
      <w:isLgl/>
      <w:numFmt w:val="lowerRoman"/>
      <w:lvlText w:val="%9."/>
      <w:lvlJc w:val="right"/>
      <w:pPr>
        <w:tabs>
          <w:tab w:val="num" w:pos="0"/>
        </w:tabs>
        <w:ind w:left="6480" w:hanging="180"/>
      </w:pPr>
      <w:rPr/>
    </w:lvl>
  </w:abstractNum>
  <w:abstractNum w:abstractNumId="5">
    <w:lvl w:ilvl="0">
      <w:start w:val="1"/>
      <w:isLgl/>
      <w:numFmt w:val="decimal"/>
      <w:lvlText w:val="%1."/>
      <w:lvlJc w:val="left"/>
      <w:pPr>
        <w:tabs>
          <w:tab w:val="num" w:pos="0"/>
        </w:tabs>
        <w:ind w:left="360" w:hanging="360"/>
      </w:pPr>
      <w:rPr>
        <w:i w:val="false"/>
        <w:b/>
      </w:rPr>
    </w:lvl>
    <w:lvl w:ilvl="1">
      <w:start w:val="1"/>
      <w:isLgl/>
      <w:numFmt w:val="upperRoman"/>
      <w:lvlText w:val="%2."/>
      <w:lvlJc w:val="right"/>
      <w:pPr>
        <w:tabs>
          <w:tab w:val="num" w:pos="0"/>
        </w:tabs>
        <w:ind w:left="360" w:hanging="360"/>
      </w:pPr>
      <w:rPr/>
    </w:lvl>
    <w:lvl w:ilvl="2">
      <w:start w:val="1"/>
      <w:isLgl/>
      <w:numFmt w:val="decimal"/>
      <w:suff w:val="space"/>
      <w:lvlText w:val="%1.%2.%3."/>
      <w:lvlJc w:val="left"/>
      <w:pPr>
        <w:tabs>
          <w:tab w:val="num" w:pos="0"/>
        </w:tabs>
        <w:ind w:left="1135" w:hanging="0"/>
      </w:pPr>
      <w:rPr>
        <w:i w:val="false"/>
        <w:b w:val="false"/>
      </w:rPr>
    </w:lvl>
    <w:lvl w:ilvl="3">
      <w:start w:val="1"/>
      <w:isLgl/>
      <w:numFmt w:val="decimal"/>
      <w:suff w:val="space"/>
      <w:lvlText w:val="%1.%2.%3.%4."/>
      <w:lvlJc w:val="left"/>
      <w:pPr>
        <w:tabs>
          <w:tab w:val="num" w:pos="0"/>
        </w:tabs>
        <w:ind w:left="851" w:hanging="0"/>
      </w:pPr>
      <w:rPr>
        <w:i w:val="false"/>
        <w:b/>
      </w:rPr>
    </w:lvl>
    <w:lvl w:ilvl="4">
      <w:start w:val="1"/>
      <w:isLgl/>
      <w:numFmt w:val="decimal"/>
      <w:suff w:val="space"/>
      <w:lvlText w:val="%1.%2.%3.%4.%5."/>
      <w:lvlJc w:val="left"/>
      <w:pPr>
        <w:tabs>
          <w:tab w:val="num" w:pos="0"/>
        </w:tabs>
        <w:ind w:left="1134" w:hanging="0"/>
      </w:pPr>
      <w:rPr>
        <w:i w:val="false"/>
        <w:b/>
      </w:rPr>
    </w:lvl>
    <w:lvl w:ilvl="5">
      <w:start w:val="1"/>
      <w:isLgl/>
      <w:numFmt w:val="decimal"/>
      <w:lvlText w:val="%1.%2.%3.%4.%5.%6."/>
      <w:lvlJc w:val="left"/>
      <w:pPr>
        <w:tabs>
          <w:tab w:val="num" w:pos="2880"/>
        </w:tabs>
        <w:ind w:left="2736" w:hanging="936"/>
      </w:pPr>
      <w:rPr/>
    </w:lvl>
    <w:lvl w:ilvl="6">
      <w:start w:val="1"/>
      <w:isLgl/>
      <w:numFmt w:val="decimal"/>
      <w:lvlText w:val="%1.%2.%3.%4.%5.%6.%7."/>
      <w:lvlJc w:val="left"/>
      <w:pPr>
        <w:tabs>
          <w:tab w:val="num" w:pos="3600"/>
        </w:tabs>
        <w:ind w:left="3240" w:hanging="1080"/>
      </w:pPr>
      <w:rPr/>
    </w:lvl>
    <w:lvl w:ilvl="7">
      <w:start w:val="1"/>
      <w:isLgl/>
      <w:numFmt w:val="decimal"/>
      <w:lvlText w:val="%1.%2.%3.%4.%5.%6.%7.%8."/>
      <w:lvlJc w:val="left"/>
      <w:pPr>
        <w:tabs>
          <w:tab w:val="num" w:pos="3960"/>
        </w:tabs>
        <w:ind w:left="3744" w:hanging="1224"/>
      </w:pPr>
      <w:rPr/>
    </w:lvl>
    <w:lvl w:ilvl="8">
      <w:start w:val="1"/>
      <w:isLgl/>
      <w:numFmt w:val="decimal"/>
      <w:lvlText w:val="%1.%2.%3.%4.%5.%6.%7.%8.%9."/>
      <w:lvlJc w:val="left"/>
      <w:pPr>
        <w:tabs>
          <w:tab w:val="num" w:pos="4680"/>
        </w:tabs>
        <w:ind w:left="4320" w:hanging="1440"/>
      </w:pPr>
      <w:rPr/>
    </w:lvl>
  </w:abstractNum>
  <w:abstractNum w:abstractNumId="6">
    <w:lvl w:ilvl="0">
      <w:start w:val="19"/>
      <w:isLgl/>
      <w:numFmt w:val="decimal"/>
      <w:lvlText w:val="%1."/>
      <w:lvlJc w:val="left"/>
      <w:pPr>
        <w:tabs>
          <w:tab w:val="num" w:pos="0"/>
        </w:tabs>
        <w:ind w:left="360" w:hanging="360"/>
      </w:pPr>
      <w:rPr/>
    </w:lvl>
    <w:lvl w:ilvl="1">
      <w:start w:val="1"/>
      <w:isLgl/>
      <w:numFmt w:val="decimal"/>
      <w:lvlText w:val="%1.%2."/>
      <w:lvlJc w:val="left"/>
      <w:pPr>
        <w:tabs>
          <w:tab w:val="num" w:pos="0"/>
        </w:tabs>
        <w:ind w:left="792" w:hanging="432"/>
      </w:pPr>
      <w:rPr>
        <w:i w:val="false"/>
        <w:b w:val="false"/>
      </w:rPr>
    </w:lvl>
    <w:lvl w:ilvl="2">
      <w:start w:val="1"/>
      <w:isLgl/>
      <w:numFmt w:val="lowerLetter"/>
      <w:lvlText w:val="%3)"/>
      <w:lvlJc w:val="left"/>
      <w:pPr>
        <w:tabs>
          <w:tab w:val="num" w:pos="0"/>
        </w:tabs>
        <w:ind w:left="1224" w:hanging="504"/>
      </w:pPr>
      <w:rPr>
        <w:b w:val="false"/>
      </w:rPr>
    </w:lvl>
    <w:lvl w:ilvl="3">
      <w:start w:val="1"/>
      <w:isLgl/>
      <w:numFmt w:val="decimal"/>
      <w:lvlText w:val="%1.%2.%3.%4."/>
      <w:lvlJc w:val="left"/>
      <w:pPr>
        <w:tabs>
          <w:tab w:val="num" w:pos="0"/>
        </w:tabs>
        <w:ind w:left="1728"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
    <w:lvl w:ilvl="0">
      <w:start w:val="1"/>
      <w:isLgl/>
      <w:numFmt w:val="decimal"/>
      <w:lvlText w:val="%1)"/>
      <w:lvlJc w:val="left"/>
      <w:pPr>
        <w:tabs>
          <w:tab w:val="num" w:pos="0"/>
        </w:tabs>
        <w:ind w:left="360" w:hanging="360"/>
      </w:pPr>
      <w:rPr/>
    </w:lvl>
    <w:lvl w:ilvl="1">
      <w:start w:val="1"/>
      <w:isLgl/>
      <w:numFmt w:val="lowerLetter"/>
      <w:lvlText w:val="%2)"/>
      <w:lvlJc w:val="left"/>
      <w:pPr>
        <w:tabs>
          <w:tab w:val="num" w:pos="0"/>
        </w:tabs>
        <w:ind w:left="720" w:hanging="360"/>
      </w:pPr>
      <w:rPr/>
    </w:lvl>
    <w:lvl w:ilvl="2">
      <w:start w:val="1"/>
      <w:isLgl/>
      <w:numFmt w:val="lowerRoman"/>
      <w:lvlText w:val="%3)"/>
      <w:lvlJc w:val="left"/>
      <w:pPr>
        <w:tabs>
          <w:tab w:val="num" w:pos="0"/>
        </w:tabs>
        <w:ind w:left="1080" w:hanging="360"/>
      </w:pPr>
      <w:rPr/>
    </w:lvl>
    <w:lvl w:ilvl="3">
      <w:start w:val="1"/>
      <w:isLgl/>
      <w:numFmt w:val="decimal"/>
      <w:lvlText w:val="(%4)"/>
      <w:lvlJc w:val="left"/>
      <w:pPr>
        <w:tabs>
          <w:tab w:val="num" w:pos="0"/>
        </w:tabs>
        <w:ind w:left="1440" w:hanging="360"/>
      </w:pPr>
      <w:rPr>
        <w:i w:val="false"/>
      </w:rPr>
    </w:lvl>
    <w:lvl w:ilvl="4">
      <w:start w:val="1"/>
      <w:isLgl/>
      <w:numFmt w:val="lowerLetter"/>
      <w:lvlText w:val="(%5)"/>
      <w:lvlJc w:val="left"/>
      <w:pPr>
        <w:tabs>
          <w:tab w:val="num" w:pos="0"/>
        </w:tabs>
        <w:ind w:left="1800" w:hanging="360"/>
      </w:pPr>
      <w:rPr/>
    </w:lvl>
    <w:lvl w:ilvl="5">
      <w:start w:val="1"/>
      <w:isLgl/>
      <w:numFmt w:val="lowerRoman"/>
      <w:lvlText w:val="(%6)"/>
      <w:lvlJc w:val="left"/>
      <w:pPr>
        <w:tabs>
          <w:tab w:val="num" w:pos="0"/>
        </w:tabs>
        <w:ind w:left="2160" w:hanging="360"/>
      </w:pPr>
      <w:rPr/>
    </w:lvl>
    <w:lvl w:ilvl="6">
      <w:start w:val="1"/>
      <w:isLgl/>
      <w:numFmt w:val="decimal"/>
      <w:lvlText w:val="%7."/>
      <w:lvlJc w:val="left"/>
      <w:pPr>
        <w:tabs>
          <w:tab w:val="num" w:pos="0"/>
        </w:tabs>
        <w:ind w:left="2520" w:hanging="360"/>
      </w:pPr>
      <w:rPr/>
    </w:lvl>
    <w:lvl w:ilvl="7">
      <w:start w:val="1"/>
      <w:isLgl/>
      <w:numFmt w:val="lowerLetter"/>
      <w:lvlText w:val="%8."/>
      <w:lvlJc w:val="left"/>
      <w:pPr>
        <w:tabs>
          <w:tab w:val="num" w:pos="0"/>
        </w:tabs>
        <w:ind w:left="2880" w:hanging="360"/>
      </w:pPr>
      <w:rPr/>
    </w:lvl>
    <w:lvl w:ilvl="8">
      <w:start w:val="1"/>
      <w:isLgl/>
      <w:numFmt w:val="lowerRoman"/>
      <w:lvlText w:val="%9."/>
      <w:lvlJc w:val="left"/>
      <w:pPr>
        <w:tabs>
          <w:tab w:val="num" w:pos="0"/>
        </w:tabs>
        <w:ind w:left="3240" w:hanging="360"/>
      </w:pPr>
      <w:rPr/>
    </w:lvl>
  </w:abstractNum>
  <w:abstractNum w:abstractNumId="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8"/>
    <w:lvlOverride w:ilvl="0">
      <w:startOverride w:val="1"/>
    </w:lvlOverride>
  </w:num>
  <w:num w:numId="122">
    <w:abstractNumId w:val="8"/>
  </w:num>
  <w:num w:numId="123">
    <w:abstractNumId w:val="8"/>
  </w:num>
  <w:num w:numId="124">
    <w:abstractNumId w:val="8"/>
  </w:num>
  <w:num w:numId="125">
    <w:abstractNumId w:val="8"/>
  </w:num>
  <w:num w:numId="126">
    <w:abstractNumId w:val="8"/>
  </w:num>
  <w:num w:numId="127">
    <w:abstractNumId w:val="8"/>
  </w:num>
  <w:num w:numId="128">
    <w:abstractNumId w:val="8"/>
  </w:num>
  <w:num w:numId="129">
    <w:abstractNumId w:val="8"/>
  </w:num>
  <w:num w:numId="130">
    <w:abstractNumId w:val="8"/>
  </w:num>
  <w:num w:numId="131">
    <w:abstractNumId w:val="8"/>
  </w:num>
  <w:num w:numId="132">
    <w:abstractNumId w:val="8"/>
  </w:num>
  <w:num w:numId="133">
    <w:abstractNumId w:val="8"/>
  </w:num>
  <w:num w:numId="134">
    <w:abstractNumId w:val="8"/>
  </w:num>
  <w:num w:numId="135">
    <w:abstractNumId w:val="8"/>
  </w:num>
  <w:num w:numId="136">
    <w:abstractNumId w:val="8"/>
  </w:num>
  <w:num w:numId="137">
    <w:abstractNumId w:val="8"/>
  </w:num>
  <w:num w:numId="138">
    <w:abstractNumId w:val="8"/>
  </w:num>
  <w:num w:numId="139">
    <w:abstractNumId w:val="8"/>
  </w:num>
  <w:num w:numId="140">
    <w:abstractNumId w:val="8"/>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w:cs="Times New Roman" w:eastAsiaTheme="minorEastAsia"/>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Ecofont_Spranq_eco_Sans" w:hAnsi="Ecofont_Spranq_eco_Sans" w:eastAsia="Arial" w:cs="Tahoma" w:eastAsiaTheme="minorEastAsia"/>
      <w:color w:val="auto"/>
      <w:kern w:val="0"/>
      <w:sz w:val="24"/>
      <w:szCs w:val="24"/>
      <w:lang w:val="pt-BR" w:eastAsia="pt-BR" w:bidi="ar-SA"/>
    </w:rPr>
  </w:style>
  <w:style w:type="paragraph" w:styleId="Heading1">
    <w:name w:val="heading 1"/>
    <w:basedOn w:val="Normal"/>
    <w:uiPriority w:val="9"/>
    <w:qFormat/>
    <w:pPr>
      <w:keepNext w:val="true"/>
      <w:keepLines/>
      <w:spacing w:before="480" w:after="0"/>
      <w:outlineLvl w:val="0"/>
    </w:pPr>
    <w:rPr>
      <w:rFonts w:ascii="Calibri" w:hAnsi="Calibri" w:eastAsia="Arial" w:cs="Arial" w:asciiTheme="majorHAnsi" w:cstheme="majorBidi" w:eastAsiaTheme="majorEastAsia" w:hAnsiTheme="majorHAnsi"/>
      <w:b/>
      <w:bCs/>
      <w:color w:themeColor="accent1" w:themeShade="bf" w:val="365F91"/>
      <w:sz w:val="28"/>
      <w:szCs w:val="28"/>
    </w:rPr>
  </w:style>
  <w:style w:type="paragraph" w:styleId="Heading2">
    <w:name w:val="heading 2"/>
    <w:basedOn w:val="Normal"/>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uiPriority w:val="9"/>
    <w:semiHidden/>
    <w:unhideWhenUsed/>
    <w:qFormat/>
    <w:pPr>
      <w:keepNext w:val="true"/>
      <w:keepLines/>
      <w:spacing w:lineRule="auto" w:line="259" w:before="40" w:after="0"/>
      <w:outlineLvl w:val="2"/>
    </w:pPr>
    <w:rPr>
      <w:rFonts w:ascii="Calibri" w:hAnsi="Calibri" w:eastAsia="Arial" w:cs="Arial" w:asciiTheme="majorHAnsi" w:cstheme="majorBidi" w:eastAsiaTheme="majorEastAsia" w:hAnsiTheme="majorHAnsi"/>
      <w:color w:themeColor="accent1" w:themeShade="7f" w:val="243F60"/>
      <w:lang w:eastAsia="en-US"/>
    </w:rPr>
  </w:style>
  <w:style w:type="paragraph" w:styleId="Heading4">
    <w:name w:val="heading 4"/>
    <w:basedOn w:val="Normal"/>
    <w:semiHidden/>
    <w:unhideWhenUsed/>
    <w:qFormat/>
    <w:pPr>
      <w:keepNext w:val="true"/>
      <w:keepLines/>
      <w:spacing w:before="40" w:after="0"/>
      <w:outlineLvl w:val="3"/>
    </w:pPr>
    <w:rPr>
      <w:rFonts w:ascii="Calibri" w:hAnsi="Calibri" w:eastAsia="Arial" w:cs="Arial" w:asciiTheme="majorHAnsi" w:cstheme="majorBidi" w:eastAsiaTheme="majorEastAsia" w:hAnsiTheme="majorHAnsi"/>
      <w:i/>
      <w:iCs/>
      <w:color w:themeColor="accent1" w:themeShade="bf" w:val="365F91"/>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semiHidden/>
    <w:unhideWhenUsed/>
    <w:qFormat/>
    <w:pPr>
      <w:keepNext w:val="true"/>
      <w:keepLines/>
      <w:spacing w:lineRule="auto" w:line="259" w:before="40" w:after="0"/>
      <w:outlineLvl w:val="5"/>
    </w:pPr>
    <w:rPr>
      <w:rFonts w:ascii="Calibri" w:hAnsi="Calibri" w:eastAsia="Arial" w:cs="Arial" w:asciiTheme="majorHAnsi" w:cstheme="majorBidi" w:eastAsiaTheme="majorEastAsia" w:hAnsiTheme="majorHAnsi"/>
      <w:color w:themeColor="accent1" w:themeShade="7f" w:val="243F60"/>
      <w:sz w:val="22"/>
      <w:szCs w:val="22"/>
      <w:lang w:eastAsia="en-US"/>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uiPriority w:val="99"/>
    <w:unhideWhenUsed/>
    <w:qFormat/>
    <w:rPr>
      <w:vertAlign w:val="superscript"/>
    </w:rPr>
  </w:style>
  <w:style w:type="character" w:styleId="EndnoteTextChar">
    <w:name w:val="Endnote Text Char"/>
    <w:uiPriority w:val="99"/>
    <w:qFormat/>
    <w:rPr>
      <w:sz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rPr>
  </w:style>
  <w:style w:type="character" w:styleId="apple-style-span" w:customStyle="1">
    <w:name w:val="apple-style-span"/>
    <w:basedOn w:val="DefaultParagraphFont"/>
    <w:qFormat/>
    <w:rPr/>
  </w:style>
  <w:style w:type="character" w:styleId="InternetLink">
    <w:name w:val="Internet Link"/>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NotaexplicativaChar" w:customStyle="1">
    <w:name w:val="Nota explicativa Char"/>
    <w:basedOn w:val="CitaoChar"/>
    <w:qFormat/>
    <w:rPr>
      <w:rFonts w:ascii="Arial" w:hAnsi="Arial" w:eastAsia="Calibri" w:cs="Tahoma"/>
      <w:i/>
      <w:iCs/>
      <w:color w:val="000000"/>
      <w:szCs w:val="24"/>
      <w:shd w:fill="FFFFCC" w:val="clear"/>
    </w:rPr>
  </w:style>
  <w:style w:type="character" w:styleId="CabealhoChar" w:customStyle="1">
    <w:name w:val="Cabeçalho Char"/>
    <w:uiPriority w:val="99"/>
    <w:qFormat/>
    <w:rPr>
      <w:rFonts w:ascii="Ecofont_Spranq_eco_Sans" w:hAnsi="Ecofont_Spranq_eco_Sans" w:cs="Tahoma"/>
      <w:sz w:val="24"/>
      <w:szCs w:val="24"/>
    </w:rPr>
  </w:style>
  <w:style w:type="character" w:styleId="RodapChar" w:customStyle="1">
    <w:name w:val="Rodapé Char"/>
    <w:uiPriority w:val="99"/>
    <w:qFormat/>
    <w:rPr>
      <w:rFonts w:ascii="Ecofont_Spranq_eco_Sans" w:hAnsi="Ecofont_Spranq_eco_Sans" w:cs="Tahoma"/>
      <w:sz w:val="24"/>
      <w:szCs w:val="24"/>
    </w:rPr>
  </w:style>
  <w:style w:type="character" w:styleId="CommentReference">
    <w:name w:val="annotation reference"/>
    <w:basedOn w:val="DefaultParagraphFont"/>
    <w:unhideWhenUsed/>
    <w:qFormat/>
    <w:rPr>
      <w:sz w:val="16"/>
      <w:szCs w:val="16"/>
    </w:rPr>
  </w:style>
  <w:style w:type="character" w:styleId="TextodecomentrioChar" w:customStyle="1">
    <w:name w:val="Texto de comentário Char"/>
    <w:basedOn w:val="DefaultParagraphFont"/>
    <w:uiPriority w:val="99"/>
    <w:qFormat/>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Arial" w:cs="Arial"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Pr>
      <w:rFonts w:ascii="Calibri" w:hAnsi="Calibri" w:eastAsia="Arial" w:cs="Arial" w:asciiTheme="majorHAnsi" w:cstheme="majorBidi" w:eastAsiaTheme="majorEastAsia" w:hAnsiTheme="majorHAnsi"/>
      <w:color w:themeColor="text2" w:themeShade="bf" w:val="17365D"/>
      <w:spacing w:val="5"/>
      <w:sz w:val="52"/>
      <w:szCs w:val="52"/>
      <w:lang w:eastAsia="pt-BR"/>
    </w:rPr>
  </w:style>
  <w:style w:type="character" w:styleId="Nivel01Char" w:customStyle="1">
    <w:name w:val="Nivel 01 Char"/>
    <w:basedOn w:val="TtuloChar"/>
    <w:qFormat/>
    <w:rPr>
      <w:rFonts w:ascii="Arial" w:hAnsi="Arial" w:eastAsia="Arial" w:cs="Arial" w:eastAsiaTheme="majorEastAsia"/>
      <w:b/>
      <w:bCs/>
      <w:color w:themeColor="text2" w:themeShade="bf" w:val="17365D"/>
      <w:spacing w:val="5"/>
      <w:sz w:val="52"/>
      <w:szCs w:val="52"/>
      <w:lang w:eastAsia="pt-BR"/>
    </w:rPr>
  </w:style>
  <w:style w:type="character" w:styleId="Ttulo1Char" w:customStyle="1">
    <w:name w:val="Título 1 Char"/>
    <w:basedOn w:val="DefaultParagraphFont"/>
    <w:uiPriority w:val="9"/>
    <w:qFormat/>
    <w:rPr>
      <w:rFonts w:ascii="Calibri" w:hAnsi="Calibri" w:eastAsia="Arial" w:cs="Arial"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qFormat/>
    <w:rPr>
      <w:rFonts w:ascii="Arial" w:hAnsi="Arial" w:eastAsia="Arial" w:cs="Arial" w:cstheme="majorBidi" w:eastAsiaTheme="majorEastAsia"/>
      <w:b/>
      <w:bCs/>
      <w:color w:themeColor="text1" w:val="000000"/>
      <w:spacing w:val="5"/>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uiPriority w:val="99"/>
    <w:qFormat/>
    <w:rPr>
      <w:rFonts w:eastAsia="Times New Roman"/>
      <w:sz w:val="24"/>
      <w:szCs w:val="24"/>
      <w:lang w:eastAsia="pt-BR"/>
    </w:rPr>
  </w:style>
  <w:style w:type="character" w:styleId="Nivel1Char" w:customStyle="1">
    <w:name w:val="Nivel1 Char"/>
    <w:basedOn w:val="Ttulo1Char"/>
    <w:qFormat/>
    <w:rPr>
      <w:rFonts w:ascii="Arial" w:hAnsi="Arial" w:eastAsia="Arial" w:cs="Arial" w:eastAsiaTheme="majorEastAsia"/>
      <w:b/>
      <w:bCs w:val="false"/>
      <w:color w:themeColor="accent1" w:themeShade="bf" w:val="000000"/>
      <w:sz w:val="28"/>
      <w:szCs w:val="28"/>
      <w:lang w:eastAsia="pt-BR"/>
    </w:rPr>
  </w:style>
  <w:style w:type="character" w:styleId="Nivel4Char" w:customStyle="1">
    <w:name w:val="Nivel 4 Char"/>
    <w:basedOn w:val="DefaultParagraphFont"/>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trike w:val="false"/>
      <w:dstrike w:val="false"/>
      <w:sz w:val="26"/>
      <w:szCs w:val="26"/>
      <w:u w:val="none"/>
    </w:rPr>
  </w:style>
  <w:style w:type="character" w:styleId="em0020ementachar1" w:customStyle="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uiPriority w:val="29"/>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FollowedHyperlink">
    <w:name w:val="FollowedHyperlink"/>
    <w:basedOn w:val="DefaultParagraphFont"/>
    <w:uiPriority w:val="99"/>
    <w:semiHidden/>
    <w:unhideWhenUsed/>
    <w:rPr>
      <w:color w:themeColor="followedHyperlink" w:val="800080"/>
      <w:u w:val="single"/>
    </w:rPr>
  </w:style>
  <w:style w:type="character" w:styleId="MenoPendente1" w:customStyle="1">
    <w:name w:val="Menção Pendente1"/>
    <w:basedOn w:val="DefaultParagraphFont"/>
    <w:uiPriority w:val="99"/>
    <w:semiHidden/>
    <w:unhideWhenUsed/>
    <w:qFormat/>
    <w:rPr>
      <w:color w:val="605E5C"/>
      <w:shd w:fill="E1DFDD" w:val="clear"/>
    </w:rPr>
  </w:style>
  <w:style w:type="character" w:styleId="MenoPendente2" w:customStyle="1">
    <w:name w:val="Menção Pendente2"/>
    <w:basedOn w:val="DefaultParagraphFont"/>
    <w:uiPriority w:val="99"/>
    <w:semiHidden/>
    <w:unhideWhenUsed/>
    <w:qFormat/>
    <w:rPr>
      <w:color w:val="605E5C"/>
      <w:shd w:fill="E1DFDD" w:val="clear"/>
    </w:rPr>
  </w:style>
  <w:style w:type="character" w:styleId="Nivel2Char" w:customStyle="1">
    <w:name w:val="Nivel 2 Char"/>
    <w:basedOn w:val="DefaultParagraphFont"/>
    <w:qFormat/>
    <w:rPr>
      <w:rFonts w:ascii="Arial" w:hAnsi="Arial" w:cs="Arial"/>
      <w:color w:val="000000"/>
      <w:lang w:eastAsia="pt-BR"/>
    </w:rPr>
  </w:style>
  <w:style w:type="character" w:styleId="Nvel2OpcionalChar" w:customStyle="1">
    <w:name w:val="Nível 2 Opcional Char"/>
    <w:basedOn w:val="DefaultParagraphFont"/>
    <w:qFormat/>
    <w:rPr>
      <w:rFonts w:ascii="Arial" w:hAnsi="Arial" w:eastAsia="Times New Roman" w:cs="Arial"/>
      <w:i/>
      <w:color w:val="FF0000"/>
      <w:lang w:eastAsia="pt-BR"/>
    </w:rPr>
  </w:style>
  <w:style w:type="character" w:styleId="Nvel3OpcionalChar" w:customStyle="1">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uiPriority w:val="67"/>
    <w:semiHidden/>
    <w:qFormat/>
    <w:rPr>
      <w:color w:val="808080"/>
    </w:rPr>
  </w:style>
  <w:style w:type="character" w:styleId="PargrafodaListaChar" w:customStyle="1">
    <w:name w:val="Parágrafo da Lista Char"/>
    <w:basedOn w:val="DefaultParagraphFont"/>
    <w:uiPriority w:val="34"/>
    <w:qFormat/>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uiPriority w:val="99"/>
    <w:semiHidden/>
    <w:unhideWhenUsed/>
    <w:qFormat/>
    <w:rPr>
      <w:color w:val="605E5C"/>
      <w:shd w:fill="E1DFDD" w:val="clear"/>
    </w:rPr>
  </w:style>
  <w:style w:type="character" w:styleId="MenoPendente4" w:customStyle="1">
    <w:name w:val="Menção Pendente4"/>
    <w:basedOn w:val="DefaultParagraphFont"/>
    <w:uiPriority w:val="99"/>
    <w:semiHidden/>
    <w:unhideWhenUsed/>
    <w:qFormat/>
    <w:rPr>
      <w:color w:val="605E5C"/>
      <w:shd w:fill="E1DFDD" w:val="clear"/>
    </w:rPr>
  </w:style>
  <w:style w:type="character" w:styleId="ouChar" w:customStyle="1">
    <w:name w:val="ou Char"/>
    <w:basedOn w:val="PargrafodaListaChar"/>
    <w:qFormat/>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Pr>
      <w:rFonts w:ascii="Arial" w:hAnsi="Arial" w:cs="Arial"/>
      <w:i/>
      <w:iCs/>
      <w:color w:val="FF0000"/>
      <w:lang w:eastAsia="pt-BR"/>
    </w:rPr>
  </w:style>
  <w:style w:type="character" w:styleId="Nivel3Char" w:customStyle="1">
    <w:name w:val="Nivel 3 Char"/>
    <w:basedOn w:val="DefaultParagraphFont"/>
    <w:qFormat/>
    <w:rPr>
      <w:rFonts w:ascii="Arial" w:hAnsi="Arial" w:cs="Arial"/>
      <w:color w:val="000000"/>
      <w:lang w:eastAsia="pt-BR"/>
    </w:rPr>
  </w:style>
  <w:style w:type="character" w:styleId="Nvel3-RChar" w:customStyle="1">
    <w:name w:val="Nível 3-R Char"/>
    <w:basedOn w:val="Nivel3Char"/>
    <w:qFormat/>
    <w:rPr>
      <w:rFonts w:ascii="Arial" w:hAnsi="Arial" w:cs="Arial"/>
      <w:i/>
      <w:iCs/>
      <w:color w:val="FF0000"/>
      <w:lang w:eastAsia="pt-BR"/>
    </w:rPr>
  </w:style>
  <w:style w:type="character" w:styleId="Nvel4-RChar" w:customStyle="1">
    <w:name w:val="Nível 4-R Char"/>
    <w:basedOn w:val="Nivel4Char"/>
    <w:qFormat/>
    <w:rPr>
      <w:rFonts w:ascii="Arial" w:hAnsi="Arial" w:cs="Arial"/>
      <w:i/>
      <w:iCs/>
      <w:color w:val="FF0000"/>
      <w:lang w:eastAsia="pt-BR"/>
    </w:rPr>
  </w:style>
  <w:style w:type="character" w:styleId="InternetLink1" w:customStyle="1">
    <w:name w:val="Internet Link1"/>
    <w:basedOn w:val="DefaultParagraphFont"/>
    <w:uiPriority w:val="99"/>
    <w:unhideWhenUsed/>
    <w:qFormat/>
    <w:rPr>
      <w:color w:themeColor="hyperlink" w:val="0000FF"/>
      <w:u w:val="single"/>
    </w:rPr>
  </w:style>
  <w:style w:type="character" w:styleId="Nvel1-SemNumChar" w:customStyle="1">
    <w:name w:val="Nível 1-Sem Num Char"/>
    <w:basedOn w:val="Nivel01Char"/>
    <w:qFormat/>
    <w:rPr>
      <w:rFonts w:ascii="Arial" w:hAnsi="Arial" w:eastAsia="Arial" w:cs="Arial" w:eastAsiaTheme="majorEastAsia"/>
      <w:b/>
      <w:bCs/>
      <w:color w:themeColor="text2" w:themeShade="bf" w:val="FF0000"/>
      <w:spacing w:val="5"/>
      <w:sz w:val="52"/>
      <w:szCs w:val="52"/>
      <w:lang w:eastAsia="pt-BR"/>
    </w:rPr>
  </w:style>
  <w:style w:type="character" w:styleId="PrembuloChar" w:customStyle="1">
    <w:name w:val="Preâmbulo Char"/>
    <w:basedOn w:val="DefaultParagraphFont"/>
    <w:qFormat/>
    <w:rPr>
      <w:rFonts w:ascii="Arial" w:hAnsi="Arial" w:eastAsia="Arial" w:cs="Arial"/>
      <w:bCs/>
      <w:lang w:eastAsia="pt-BR"/>
    </w:rPr>
  </w:style>
  <w:style w:type="character" w:styleId="UnresolvedMention">
    <w:name w:val="Unresolved Mention"/>
    <w:basedOn w:val="DefaultParagraphFont"/>
    <w:uiPriority w:val="99"/>
    <w:semiHidden/>
    <w:unhideWhenUsed/>
    <w:qFormat/>
    <w:rPr>
      <w:color w:val="605E5C"/>
      <w:shd w:fill="E1DFDD" w:val="clea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99"/>
    <w:unhideWhenUsed/>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uiPriority w:val="35"/>
    <w:semiHidden/>
    <w:unhideWhenUsed/>
    <w:qFormat/>
    <w:pPr>
      <w:spacing w:lineRule="auto" w:line="276"/>
    </w:pPr>
    <w:rPr>
      <w:b/>
      <w:bCs/>
      <w:color w:themeColor="accent1" w:val="4F81BD"/>
      <w:sz w:val="18"/>
      <w:szCs w:val="18"/>
    </w:rPr>
  </w:style>
  <w:style w:type="paragraph" w:styleId="ndice">
    <w:name w:val="Índice"/>
    <w:basedOn w:val="Normal"/>
    <w:qFormat/>
    <w:pPr>
      <w:suppressLineNumbers/>
    </w:pPr>
    <w:rPr>
      <w:rFonts w:cs="Lucida San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Subtitle">
    <w:name w:val="Subtitle"/>
    <w:basedOn w:val="Normal"/>
    <w:uiPriority w:val="11"/>
    <w:qFormat/>
    <w:pPr>
      <w:spacing w:before="200" w:after="200"/>
    </w:pPr>
    <w:rPr>
      <w:sz w:val="24"/>
      <w:szCs w:val="24"/>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1">
    <w:name w:val="toc 1"/>
    <w:basedOn w:val="Normal"/>
    <w:uiPriority w:val="39"/>
    <w:unhideWhenUsed/>
    <w:pPr>
      <w:spacing w:before="0" w:after="57"/>
      <w:ind w:hanging="0" w:left="0" w:right="0"/>
    </w:pPr>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IndexHeading">
    <w:name w:val="index heading"/>
    <w:basedOn w:val="Ttulo"/>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TableofFigures">
    <w:name w:val="table of figures"/>
    <w:basedOn w:val="Normal"/>
    <w:uiPriority w:val="99"/>
    <w:unhideWhenUsed/>
    <w:pPr>
      <w:spacing w:before="0" w:afterAutospacing="0" w:after="0"/>
    </w:pPr>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BalloonText">
    <w:name w:val="Balloon Text"/>
    <w:basedOn w:val="Normal"/>
    <w:uiPriority w:val="99"/>
    <w:qFormat/>
    <w:pPr/>
    <w:rPr>
      <w:rFonts w:ascii="Tahoma" w:hAnsi="Tahoma"/>
      <w:sz w:val="16"/>
      <w:szCs w:val="16"/>
    </w:rPr>
  </w:style>
  <w:style w:type="paragraph" w:styleId="Nvel2" w:customStyle="1">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pPr>
      <w:numPr>
        <w:ilvl w:val="0"/>
        <w:numId w:val="2"/>
      </w:numPr>
      <w:spacing w:before="0" w:after="0"/>
      <w:contextualSpacing/>
    </w:pPr>
    <w:rPr/>
  </w:style>
  <w:style w:type="paragraph" w:styleId="Notaexplicativa" w:customStyle="1">
    <w:name w:val="Nota explicativa"/>
    <w:basedOn w:val="Quote"/>
    <w:qFormat/>
    <w:pPr/>
    <w:rPr>
      <w:szCs w:val="20"/>
    </w:rPr>
  </w:style>
  <w:style w:type="paragraph" w:styleId="Cabealhoerodap">
    <w:name w:val="Cabeçalho e rodapé"/>
    <w:basedOn w:val="Normal"/>
    <w:qFormat/>
    <w:pPr/>
    <w:rPr/>
  </w:style>
  <w:style w:type="paragraph" w:styleId="Header">
    <w:name w:val="header"/>
    <w:basedOn w:val="Normal"/>
    <w:uiPriority w:val="99"/>
    <w:pPr>
      <w:tabs>
        <w:tab w:val="clear" w:pos="708"/>
        <w:tab w:val="center" w:pos="4252" w:leader="none"/>
        <w:tab w:val="right" w:pos="8504" w:leader="none"/>
      </w:tabs>
    </w:pPr>
    <w:rPr/>
  </w:style>
  <w:style w:type="paragraph" w:styleId="Footer">
    <w:name w:val="footer"/>
    <w:basedOn w:val="Normal"/>
    <w:uiPriority w:val="99"/>
    <w:pPr>
      <w:tabs>
        <w:tab w:val="clear" w:pos="708"/>
        <w:tab w:val="center" w:pos="4252" w:leader="none"/>
        <w:tab w:val="right" w:pos="8504" w:leader="none"/>
      </w:tabs>
    </w:pPr>
    <w:rPr/>
  </w:style>
  <w:style w:type="paragraph" w:styleId="CommentText">
    <w:name w:val="annotation text"/>
    <w:basedOn w:val="Normal"/>
    <w:uiPriority w:val="99"/>
    <w:unhideWhenUsed/>
    <w:qFormat/>
    <w:pPr/>
    <w:rPr>
      <w:sz w:val="20"/>
      <w:szCs w:val="20"/>
    </w:rPr>
  </w:style>
  <w:style w:type="paragraph" w:styleId="annotationsubject">
    <w:name w:val="annotation subject"/>
    <w:basedOn w:val="CommentText"/>
    <w:uiPriority w:val="99"/>
    <w:semiHidden/>
    <w:unhideWhenUsed/>
    <w:qFormat/>
    <w:pPr/>
    <w:rPr>
      <w:b/>
      <w:bCs/>
    </w:rPr>
  </w:style>
  <w:style w:type="paragraph" w:styleId="Nivel01" w:customStyle="1">
    <w:name w:val="Nivel 01"/>
    <w:basedOn w:val="Heading1"/>
    <w:qFormat/>
    <w:pPr>
      <w:numPr>
        <w:ilvl w:val="0"/>
        <w:numId w:val="1"/>
      </w:numPr>
      <w:tabs>
        <w:tab w:val="clear" w:pos="708"/>
        <w:tab w:val="left" w:pos="567" w:leader="none"/>
      </w:tabs>
      <w:spacing w:before="240" w:after="0"/>
      <w:jc w:val="both"/>
    </w:pPr>
    <w:rPr>
      <w:rFonts w:ascii="Arial" w:hAnsi="Arial" w:cs="Arial"/>
      <w:color w:themeColor="accent1" w:themeShade="bf" w:val="auto"/>
      <w:sz w:val="20"/>
      <w:szCs w:val="20"/>
    </w:rPr>
  </w:style>
  <w:style w:type="paragraph" w:styleId="Nivel01Titulo" w:customStyle="1">
    <w:name w:val="Nivel_01_Titulo"/>
    <w:basedOn w:val="Nivel01"/>
    <w:qFormat/>
    <w:pPr>
      <w:jc w:val="left"/>
    </w:pPr>
    <w:rPr>
      <w:rFonts w:cs="Arial" w:cstheme="majorBidi"/>
      <w:color w:themeColor="text1" w:val="000000"/>
      <w:spacing w:val="5"/>
      <w:sz w:val="52"/>
      <w:szCs w:val="52"/>
    </w:rPr>
  </w:style>
  <w:style w:type="paragraph" w:styleId="Title">
    <w:name w:val="Title"/>
    <w:basedOn w:val="Normal"/>
    <w:qFormat/>
    <w:pPr>
      <w:pBdr>
        <w:bottom w:val="single" w:sz="8" w:space="4" w:color="4F81BD" w:themeColor="accent1"/>
      </w:pBdr>
      <w:spacing w:before="0" w:after="300"/>
      <w:contextualSpacing/>
    </w:pPr>
    <w:rPr>
      <w:rFonts w:ascii="Calibri" w:hAnsi="Calibri" w:eastAsia="Arial" w:cs="Arial" w:asciiTheme="majorHAnsi" w:cstheme="majorBidi" w:eastAsiaTheme="majorEastAsia" w:hAnsiTheme="majorHAnsi"/>
      <w:color w:themeColor="text2" w:themeShade="bf" w:val="17365D"/>
      <w:spacing w:val="5"/>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Autospacing="1" w:afterAutospacing="1"/>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basedOn w:val="Normal"/>
    <w:qFormat/>
    <w:pPr>
      <w:numPr>
        <w:ilvl w:val="1"/>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qFormat/>
    <w:pPr>
      <w:numPr>
        <w:ilvl w:val="0"/>
        <w:numId w:val="0"/>
      </w:numPr>
      <w:ind w:hanging="360" w:left="360"/>
    </w:pPr>
    <w:rPr>
      <w:b/>
    </w:rPr>
  </w:style>
  <w:style w:type="paragraph" w:styleId="Nivel3" w:customStyle="1">
    <w:name w:val="Nivel 3"/>
    <w:basedOn w:val="Normal"/>
    <w:qFormat/>
    <w:pPr>
      <w:numPr>
        <w:ilvl w:val="2"/>
        <w:numId w:val="1"/>
      </w:numPr>
      <w:spacing w:lineRule="auto" w:line="276" w:before="120" w:after="120"/>
      <w:ind w:hanging="0" w:left="425"/>
      <w:jc w:val="both"/>
    </w:pPr>
    <w:rPr>
      <w:rFonts w:ascii="Arial" w:hAnsi="Arial" w:cs="Arial"/>
      <w:color w:val="000000"/>
      <w:sz w:val="20"/>
      <w:szCs w:val="20"/>
    </w:rPr>
  </w:style>
  <w:style w:type="paragraph" w:styleId="Nivel4" w:customStyle="1">
    <w:name w:val="Nivel 4"/>
    <w:basedOn w:val="Nivel3"/>
    <w:qFormat/>
    <w:pPr>
      <w:ind w:hanging="0" w:left="851"/>
    </w:pPr>
    <w:rPr>
      <w:color w:val="auto"/>
    </w:rPr>
  </w:style>
  <w:style w:type="paragraph" w:styleId="Nivel5" w:customStyle="1">
    <w:name w:val="Nivel 5"/>
    <w:basedOn w:val="Nivel4"/>
    <w:qFormat/>
    <w:pPr>
      <w:ind w:hanging="0" w:left="1276"/>
    </w:pPr>
    <w:rPr/>
  </w:style>
  <w:style w:type="paragraph" w:styleId="textbody" w:customStyle="1">
    <w:name w:val="textbody"/>
    <w:basedOn w:val="Normal"/>
    <w:qFormat/>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pPr>
      <w:ind w:left="4160"/>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pPr>
      <w:spacing w:beforeAutospacing="1" w:afterAutospacing="1"/>
    </w:pPr>
    <w:rPr>
      <w:rFonts w:ascii="Times New Roman" w:hAnsi="Times New Roman" w:eastAsia="Times New Roman" w:cs="Times New Roman"/>
    </w:rPr>
  </w:style>
  <w:style w:type="paragraph" w:styleId="Nvel2Opcional" w:customStyle="1">
    <w:name w:val="Nível 2 Opcional"/>
    <w:basedOn w:val="Nivel2"/>
    <w:qFormat/>
    <w:pPr>
      <w:numPr>
        <w:ilvl w:val="0"/>
        <w:numId w:val="0"/>
      </w:numPr>
      <w:ind w:hanging="432" w:left="432"/>
    </w:pPr>
    <w:rPr>
      <w:rFonts w:eastAsia="Times New Roman"/>
      <w:i/>
      <w:color w:val="FF0000"/>
    </w:rPr>
  </w:style>
  <w:style w:type="paragraph" w:styleId="Nvel3Opcional" w:customStyle="1">
    <w:name w:val="Nível 3 Opcional"/>
    <w:basedOn w:val="Nivel3"/>
    <w:qFormat/>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Autospacing="1" w:afterAutospacing="1"/>
    </w:pPr>
    <w:rPr>
      <w:rFonts w:ascii="Times New Roman" w:hAnsi="Times New Roman" w:eastAsia="Times New Roman" w:cs="Times New Roman"/>
    </w:rPr>
  </w:style>
  <w:style w:type="paragraph" w:styleId="itemnivel2" w:customStyle="1">
    <w:name w:val="item_nivel2"/>
    <w:basedOn w:val="Normal"/>
    <w:qFormat/>
    <w:pPr>
      <w:spacing w:beforeAutospacing="1" w:afterAutospacing="1"/>
    </w:pPr>
    <w:rPr>
      <w:rFonts w:ascii="Times New Roman" w:hAnsi="Times New Roman" w:eastAsia="Times New Roman" w:cs="Times New Roman"/>
    </w:rPr>
  </w:style>
  <w:style w:type="paragraph" w:styleId="itemnivel1" w:customStyle="1">
    <w:name w:val="item_nivel1"/>
    <w:basedOn w:val="Normal"/>
    <w:qFormat/>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pPr>
      <w:spacing w:beforeAutospacing="1" w:afterAutospacing="1"/>
    </w:pPr>
    <w:rPr>
      <w:rFonts w:ascii="Times New Roman" w:hAnsi="Times New Roman" w:eastAsia="Times New Roman" w:cs="Times New Roman"/>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customStyle="1">
    <w:name w:val="Text body"/>
    <w:basedOn w:val="Standard"/>
    <w:qFormat/>
    <w:pPr>
      <w:spacing w:lineRule="auto" w:line="276" w:before="0" w:after="140"/>
    </w:pPr>
    <w:rPr/>
  </w:style>
  <w:style w:type="paragraph" w:styleId="ou" w:customStyle="1">
    <w:name w:val="ou"/>
    <w:basedOn w:val="ListParagraph"/>
    <w:qFormat/>
    <w:pPr>
      <w:spacing w:lineRule="auto" w:line="259" w:before="60" w:after="60"/>
      <w:ind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pPr>
      <w:spacing w:beforeAutospacing="1" w:afterAutospacing="1"/>
    </w:pPr>
    <w:rPr>
      <w:rFonts w:ascii="Times New Roman" w:hAnsi="Times New Roman" w:eastAsia="Times New Roman" w:cs="Times New Roma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Nvel4-R" w:customStyle="1">
    <w:name w:val="Nível 4-R"/>
    <w:basedOn w:val="Nivel4"/>
    <w:qFormat/>
    <w:pPr>
      <w:ind w:hanging="648" w:left="2491"/>
    </w:pPr>
    <w:rPr>
      <w:i/>
      <w:iCs/>
      <w:color w:val="FF0000"/>
    </w:rPr>
  </w:style>
  <w:style w:type="paragraph" w:styleId="Nvel1-SemNum" w:customStyle="1">
    <w:name w:val="Nível 1-Sem Num"/>
    <w:basedOn w:val="Nivel01"/>
    <w:qFormat/>
    <w:pPr>
      <w:numPr>
        <w:ilvl w:val="0"/>
        <w:numId w:val="0"/>
      </w:numPr>
      <w:ind w:left="357"/>
      <w:outlineLvl w:val="1"/>
    </w:pPr>
    <w:rPr>
      <w:color w:themeColor="accent1" w:themeShade="bf" w:val="FF0000"/>
    </w:rPr>
  </w:style>
  <w:style w:type="paragraph" w:styleId="citao2" w:customStyle="1">
    <w:name w:val="citação 2"/>
    <w:basedOn w:val="Quote"/>
    <w:qFormat/>
    <w:pPr/>
    <w:rPr>
      <w:szCs w:val="20"/>
    </w:rPr>
  </w:style>
  <w:style w:type="paragraph" w:styleId="Prembulo" w:customStyle="1">
    <w:name w:val="Preâmbulo"/>
    <w:basedOn w:val="Normal"/>
    <w:qFormat/>
    <w:pPr>
      <w:spacing w:lineRule="auto" w:line="360" w:before="480" w:after="120"/>
      <w:ind w:left="4253" w:right="-17"/>
      <w:jc w:val="both"/>
    </w:pPr>
    <w:rPr>
      <w:rFonts w:ascii="Arial" w:hAnsi="Arial" w:eastAsia="Arial" w:cs="Arial"/>
      <w:bCs/>
      <w:sz w:val="20"/>
      <w:szCs w:val="20"/>
    </w:rPr>
  </w:style>
  <w:style w:type="numbering" w:styleId="Semlista" w:default="1">
    <w:name w:val="Sem lista"/>
    <w:uiPriority w:val="99"/>
    <w:semiHidden/>
    <w:unhideWhenUsed/>
    <w:qFormat/>
  </w:style>
  <w:style w:type="numbering" w:styleId="Estilo1" w:customStyle="1">
    <w:name w:val="Estilo1"/>
    <w:uiPriority w:val="99"/>
    <w:qFormat/>
  </w:style>
  <w:style w:type="numbering" w:styleId="Estilo2" w:customStyle="1">
    <w:name w:val="Estilo2"/>
    <w:uiPriority w:val="99"/>
    <w:qFormat/>
  </w:style>
  <w:style w:type="numbering" w:styleId="Estilo3" w:customStyle="1">
    <w:name w:val="Estilo3"/>
    <w:uiPriority w:val="99"/>
    <w:qFormat/>
  </w:style>
  <w:style w:type="numbering" w:styleId="Estilo4" w:customStyle="1">
    <w:name w:val="Estilo4"/>
    <w:uiPriority w:val="99"/>
    <w:qFormat/>
  </w:style>
  <w:style w:type="numbering" w:styleId="Estilo5" w:customStyle="1">
    <w:name w:val="Estilo5"/>
    <w:uiPriority w:val="99"/>
    <w:qFormat/>
  </w:style>
  <w:style w:type="numbering" w:styleId="Estilo6" w:customStyle="1">
    <w:name w:val="Estilo6"/>
    <w:uiPriority w:val="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49" Type="http://schemas.openxmlformats.org/officeDocument/2006/relationships/hyperlink" Target="https://www.planalto.gov.br/ccivil_03/_ato2011-2014/2012/decreto/d7724.htm" TargetMode="External"/><Relationship Id="rId50"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53" Type="http://schemas.openxmlformats.org/officeDocument/2006/relationships/header" Target="header2.xml"/><Relationship Id="rId54" Type="http://schemas.openxmlformats.org/officeDocument/2006/relationships/header" Target="header3.xml"/><Relationship Id="rId55" Type="http://schemas.openxmlformats.org/officeDocument/2006/relationships/footer" Target="footer1.xml"/><Relationship Id="rId56" Type="http://schemas.openxmlformats.org/officeDocument/2006/relationships/footer" Target="footer2.xml"/><Relationship Id="rId57" Type="http://schemas.openxmlformats.org/officeDocument/2006/relationships/footer" Target="footer3.xml"/><Relationship Id="rId58" Type="http://schemas.openxmlformats.org/officeDocument/2006/relationships/numbering" Target="numbering.xml"/><Relationship Id="rId59" Type="http://schemas.openxmlformats.org/officeDocument/2006/relationships/fontTable" Target="fontTable.xml"/><Relationship Id="rId60" Type="http://schemas.openxmlformats.org/officeDocument/2006/relationships/settings" Target="settings.xml"/><Relationship Id="rId61" Type="http://schemas.openxmlformats.org/officeDocument/2006/relationships/theme" Target="theme/theme1.xml"/><Relationship Id="rId62" Type="http://schemas.openxmlformats.org/officeDocument/2006/relationships/customXml" Target="../customXml/item1.xml"/><Relationship Id="rId63" Type="http://schemas.openxmlformats.org/officeDocument/2006/relationships/customXml" Target="../customXml/item2.xml"/><Relationship Id="rId64" Type="http://schemas.openxmlformats.org/officeDocument/2006/relationships/customXml" Target="../customXml/item3.xml"/><Relationship Id="rId6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Arial" pitchFamily="0" charset="1"/>
        <a:cs typeface="Arial" pitchFamily="0" charset="1"/>
      </a:majorFont>
      <a:minorFont>
        <a:latin typeface="Cambria"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purl.org/dc/dcmitype/"/>
    <ds:schemaRef ds:uri="http://purl.org/dc/terms/"/>
    <ds:schemaRef ds:uri="http://schemas.microsoft.com/office/infopath/2007/PartnerControls"/>
    <ds:schemaRef ds:uri="feb27506-d0cb-4764-903f-1304ed79efc7"/>
    <ds:schemaRef ds:uri="http://schemas.microsoft.com/office/2006/documentManagement/types"/>
    <ds:schemaRef ds:uri="http://schemas.openxmlformats.org/package/2006/metadata/core-properties"/>
    <ds:schemaRef ds:uri="http://purl.org/dc/elements/1.1/"/>
    <ds:schemaRef ds:uri="8ce77f6a-f1fb-45c7-a4e1-13af6ce189a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4159-1A97-4F80-B42C-7F8E31508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Application>LibreOffice/24.8.0.3$Windows_X86_64 LibreOffice_project/0bdf1299c94fe897b119f97f3c613e9dca6be583</Application>
  <AppVersion>15.0000</AppVersion>
  <Pages>11</Pages>
  <Words>3711</Words>
  <Characters>20789</Characters>
  <CharactersWithSpaces>24238</CharactersWithSpaces>
  <Paragraphs>180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2022-12-21T15:49:00Z</dcterms:created>
  <dc:creator/>
  <dc:description/>
  <dc:language>pt-BR</dc:language>
  <cp:lastModifiedBy/>
  <dcterms:modified xsi:type="dcterms:W3CDTF">2025-01-28T10:26:25Z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